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黑体" w:hAnsi="黑体" w:eastAsia="黑体" w:cs="Times New Roman"/>
          <w:b/>
          <w:color w:val="000000"/>
          <w:kern w:val="0"/>
          <w:sz w:val="44"/>
          <w:szCs w:val="44"/>
        </w:rPr>
      </w:pPr>
    </w:p>
    <w:p>
      <w:pPr>
        <w:spacing w:line="360" w:lineRule="auto"/>
        <w:jc w:val="center"/>
        <w:rPr>
          <w:rFonts w:ascii="黑体" w:hAnsi="黑体" w:eastAsia="黑体" w:cs="Times New Roman"/>
          <w:b/>
          <w:color w:val="000000"/>
          <w:kern w:val="0"/>
          <w:sz w:val="44"/>
          <w:szCs w:val="44"/>
        </w:rPr>
      </w:pPr>
      <w:r>
        <w:rPr>
          <w:rFonts w:hint="eastAsia" w:ascii="黑体" w:hAnsi="黑体" w:eastAsia="黑体" w:cs="Times New Roman"/>
          <w:b/>
          <w:color w:val="000000"/>
          <w:kern w:val="0"/>
          <w:sz w:val="44"/>
          <w:szCs w:val="44"/>
        </w:rPr>
        <w:t>数学与应用数学专业</w:t>
      </w:r>
    </w:p>
    <w:p>
      <w:pPr>
        <w:spacing w:line="360" w:lineRule="auto"/>
        <w:ind w:firstLine="560" w:firstLineChars="200"/>
        <w:rPr>
          <w:rFonts w:ascii="仿宋" w:hAnsi="仿宋" w:eastAsia="仿宋" w:cs="Times New Roman"/>
          <w:kern w:val="0"/>
          <w:sz w:val="28"/>
          <w:szCs w:val="28"/>
        </w:rPr>
      </w:pPr>
      <w:r>
        <w:rPr>
          <w:rFonts w:hint="eastAsia" w:ascii="仿宋" w:hAnsi="仿宋" w:eastAsia="仿宋" w:cs="Times New Roman"/>
          <w:kern w:val="0"/>
          <w:sz w:val="28"/>
          <w:szCs w:val="28"/>
          <w:lang w:eastAsia="zh-CN"/>
        </w:rPr>
        <w:t>（</w:t>
      </w:r>
      <w:r>
        <w:rPr>
          <w:rFonts w:hint="eastAsia" w:ascii="仿宋" w:hAnsi="仿宋" w:eastAsia="仿宋" w:cs="Times New Roman"/>
          <w:kern w:val="0"/>
          <w:sz w:val="28"/>
          <w:szCs w:val="28"/>
        </w:rPr>
        <w:t>本培养方案为预设方案，根据实际教学需要可能有所调整</w:t>
      </w:r>
      <w:r>
        <w:rPr>
          <w:rFonts w:hint="eastAsia" w:ascii="仿宋" w:hAnsi="仿宋" w:eastAsia="仿宋" w:cs="Times New Roman"/>
          <w:kern w:val="0"/>
          <w:sz w:val="28"/>
          <w:szCs w:val="28"/>
          <w:lang w:eastAsia="zh-CN"/>
        </w:rPr>
        <w:t>）</w:t>
      </w:r>
    </w:p>
    <w:p>
      <w:pPr>
        <w:spacing w:line="360" w:lineRule="auto"/>
        <w:rPr>
          <w:rFonts w:ascii="仿宋" w:hAnsi="仿宋" w:eastAsia="仿宋" w:cs="Times New Roman"/>
          <w:color w:val="000000"/>
          <w:kern w:val="0"/>
          <w:szCs w:val="32"/>
        </w:rPr>
      </w:pPr>
      <w:bookmarkStart w:id="0" w:name="_GoBack"/>
      <w:bookmarkEnd w:id="0"/>
    </w:p>
    <w:p>
      <w:pPr>
        <w:spacing w:line="360" w:lineRule="auto"/>
        <w:ind w:firstLine="560" w:firstLineChars="200"/>
        <w:rPr>
          <w:rFonts w:ascii="仿宋" w:hAnsi="仿宋" w:eastAsia="仿宋" w:cs="Times New Roman"/>
          <w:kern w:val="0"/>
          <w:sz w:val="28"/>
          <w:szCs w:val="28"/>
        </w:rPr>
      </w:pPr>
      <w:r>
        <w:rPr>
          <w:rFonts w:ascii="仿宋" w:hAnsi="仿宋" w:eastAsia="仿宋" w:cs="Times New Roman"/>
          <w:sz w:val="28"/>
          <w:szCs w:val="28"/>
        </w:rPr>
        <w:t>南开大学</w:t>
      </w:r>
      <w:r>
        <w:rPr>
          <w:rFonts w:hint="eastAsia" w:ascii="仿宋" w:hAnsi="仿宋" w:eastAsia="仿宋" w:cs="Times New Roman"/>
          <w:sz w:val="28"/>
          <w:szCs w:val="28"/>
        </w:rPr>
        <w:t>数学学科</w:t>
      </w:r>
      <w:r>
        <w:rPr>
          <w:rFonts w:ascii="仿宋" w:hAnsi="仿宋" w:eastAsia="仿宋" w:cs="Times New Roman"/>
          <w:sz w:val="28"/>
          <w:szCs w:val="28"/>
        </w:rPr>
        <w:t>作为国家“双一流”</w:t>
      </w:r>
      <w:r>
        <w:rPr>
          <w:rFonts w:hint="eastAsia" w:ascii="仿宋" w:hAnsi="仿宋" w:eastAsia="仿宋" w:cs="Times New Roman"/>
          <w:sz w:val="28"/>
          <w:szCs w:val="28"/>
        </w:rPr>
        <w:t>建设</w:t>
      </w:r>
      <w:r>
        <w:rPr>
          <w:rFonts w:ascii="仿宋" w:hAnsi="仿宋" w:eastAsia="仿宋" w:cs="Times New Roman"/>
          <w:sz w:val="28"/>
          <w:szCs w:val="28"/>
        </w:rPr>
        <w:t>学科，国内外数</w:t>
      </w:r>
      <w:r>
        <w:rPr>
          <w:rFonts w:hint="eastAsia" w:ascii="仿宋" w:hAnsi="仿宋" w:eastAsia="仿宋" w:cs="Times New Roman"/>
          <w:sz w:val="28"/>
          <w:szCs w:val="28"/>
        </w:rPr>
        <w:t>学学科重镇，具有悠久的办学历史、雄厚的师资力量和顶尖的科研实力。</w:t>
      </w:r>
      <w:r>
        <w:rPr>
          <w:rFonts w:ascii="仿宋" w:hAnsi="仿宋" w:eastAsia="仿宋" w:cs="Times New Roman"/>
          <w:color w:val="000000"/>
          <w:kern w:val="0"/>
          <w:sz w:val="28"/>
          <w:szCs w:val="28"/>
        </w:rPr>
        <w:t>根据《教育部关于在部分高校开展基础学科招生改革试点工作的意见》（教学〔2020〕1号）</w:t>
      </w:r>
      <w:r>
        <w:rPr>
          <w:rFonts w:hint="eastAsia" w:ascii="仿宋" w:hAnsi="仿宋" w:eastAsia="仿宋" w:cs="Times New Roman"/>
          <w:color w:val="000000"/>
          <w:kern w:val="0"/>
          <w:sz w:val="28"/>
          <w:szCs w:val="28"/>
        </w:rPr>
        <w:t>等文件要求</w:t>
      </w:r>
      <w:r>
        <w:rPr>
          <w:rFonts w:ascii="仿宋" w:hAnsi="仿宋" w:eastAsia="仿宋" w:cs="Times New Roman"/>
          <w:color w:val="000000"/>
          <w:kern w:val="0"/>
          <w:sz w:val="28"/>
          <w:szCs w:val="28"/>
        </w:rPr>
        <w:t>，加强强基计划招生和培养的有效衔接，</w:t>
      </w:r>
      <w:r>
        <w:rPr>
          <w:rFonts w:hint="eastAsia" w:ascii="仿宋" w:hAnsi="仿宋" w:eastAsia="仿宋" w:cs="Times New Roman"/>
          <w:color w:val="000000"/>
          <w:kern w:val="0"/>
          <w:sz w:val="28"/>
          <w:szCs w:val="28"/>
        </w:rPr>
        <w:t>结合南开数学学科特点和教学科研优势，</w:t>
      </w:r>
      <w:r>
        <w:rPr>
          <w:rFonts w:ascii="仿宋" w:hAnsi="仿宋" w:eastAsia="仿宋" w:cs="Times New Roman"/>
          <w:kern w:val="0"/>
          <w:sz w:val="28"/>
          <w:szCs w:val="28"/>
        </w:rPr>
        <w:t>特制定如下</w:t>
      </w:r>
      <w:r>
        <w:rPr>
          <w:rFonts w:hint="eastAsia" w:ascii="仿宋" w:hAnsi="仿宋" w:eastAsia="仿宋" w:cs="Times New Roman"/>
          <w:kern w:val="0"/>
          <w:sz w:val="28"/>
          <w:szCs w:val="28"/>
        </w:rPr>
        <w:t>数学强基计划</w:t>
      </w:r>
      <w:r>
        <w:rPr>
          <w:rFonts w:ascii="仿宋" w:hAnsi="仿宋" w:eastAsia="仿宋" w:cs="Times New Roman"/>
          <w:kern w:val="0"/>
          <w:sz w:val="28"/>
          <w:szCs w:val="28"/>
        </w:rPr>
        <w:t>培养方案</w:t>
      </w:r>
      <w:r>
        <w:rPr>
          <w:rFonts w:hint="eastAsia" w:ascii="仿宋" w:hAnsi="仿宋" w:eastAsia="仿宋" w:cs="Times New Roman"/>
          <w:kern w:val="0"/>
          <w:sz w:val="28"/>
          <w:szCs w:val="28"/>
          <w:lang w:eastAsia="zh-CN"/>
        </w:rPr>
        <w:t>：</w:t>
      </w:r>
    </w:p>
    <w:p>
      <w:pPr>
        <w:spacing w:line="360" w:lineRule="auto"/>
        <w:rPr>
          <w:rFonts w:ascii="黑体" w:hAnsi="黑体" w:eastAsia="黑体"/>
          <w:b/>
          <w:sz w:val="30"/>
          <w:szCs w:val="30"/>
        </w:rPr>
      </w:pPr>
      <w:r>
        <w:rPr>
          <w:rFonts w:hint="eastAsia" w:ascii="黑体" w:hAnsi="黑体" w:eastAsia="黑体"/>
          <w:b/>
          <w:sz w:val="30"/>
          <w:szCs w:val="30"/>
        </w:rPr>
        <w:t>一、基本情况</w:t>
      </w:r>
    </w:p>
    <w:p>
      <w:pPr>
        <w:spacing w:line="360" w:lineRule="auto"/>
        <w:rPr>
          <w:rFonts w:ascii="仿宋" w:hAnsi="仿宋" w:eastAsia="仿宋"/>
          <w:b/>
          <w:color w:val="FF0000"/>
          <w:sz w:val="28"/>
          <w:szCs w:val="28"/>
        </w:rPr>
      </w:pPr>
      <w:r>
        <w:rPr>
          <w:rFonts w:hint="eastAsia" w:ascii="仿宋" w:hAnsi="仿宋" w:eastAsia="仿宋"/>
          <w:b/>
          <w:sz w:val="28"/>
          <w:szCs w:val="28"/>
        </w:rPr>
        <w:t>（一）专业简介</w:t>
      </w:r>
    </w:p>
    <w:p>
      <w:pPr>
        <w:tabs>
          <w:tab w:val="left" w:pos="6379"/>
        </w:tabs>
        <w:adjustRightInd w:val="0"/>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南开大学的“数学与应用数学”是首批国家级一流本科专业建设点，本专业致力于培养信念坚定、基础扎实、视野广阔、素质过硬的从事数学基础研究和应用研究的高级人才，为建设中国特色社会主义科技强国输送急需的优秀人才。</w:t>
      </w:r>
    </w:p>
    <w:p>
      <w:pPr>
        <w:adjustRightInd w:val="0"/>
        <w:snapToGrid w:val="0"/>
        <w:spacing w:line="360" w:lineRule="auto"/>
        <w:ind w:firstLine="420" w:firstLineChars="150"/>
        <w:rPr>
          <w:rFonts w:ascii="仿宋" w:hAnsi="仿宋" w:eastAsia="仿宋"/>
          <w:sz w:val="28"/>
          <w:szCs w:val="28"/>
        </w:rPr>
      </w:pPr>
      <w:r>
        <w:rPr>
          <w:rFonts w:hint="eastAsia" w:ascii="仿宋" w:hAnsi="仿宋" w:eastAsia="仿宋"/>
          <w:sz w:val="28"/>
          <w:szCs w:val="28"/>
        </w:rPr>
        <w:t>专业办学历史悠久，自1920年数学系创立起，始终是我国培养数学与应用数学人才的顶尖基地之一，培养了包括陈省身在内的一批世界著名数学家。1986年陈省身先生创办“数学试点班”，1993年建立“数学基地”。后来根据教育部专业设置的规定，设立本专业，2008年被评为国家级特色专业。2009年设立数学伯苓班。</w:t>
      </w:r>
    </w:p>
    <w:p>
      <w:pPr>
        <w:adjustRightInd w:val="0"/>
        <w:snapToGrid w:val="0"/>
        <w:spacing w:line="360" w:lineRule="auto"/>
        <w:ind w:firstLine="420" w:firstLineChars="150"/>
        <w:rPr>
          <w:rFonts w:ascii="仿宋" w:hAnsi="仿宋" w:eastAsia="仿宋"/>
          <w:sz w:val="28"/>
          <w:szCs w:val="28"/>
        </w:rPr>
      </w:pPr>
      <w:r>
        <w:rPr>
          <w:rFonts w:ascii="仿宋" w:hAnsi="仿宋" w:eastAsia="仿宋" w:cs="Times New Roman"/>
          <w:sz w:val="28"/>
          <w:szCs w:val="28"/>
        </w:rPr>
        <w:t>2017年</w:t>
      </w:r>
      <w:r>
        <w:rPr>
          <w:rFonts w:hint="eastAsia" w:ascii="仿宋" w:hAnsi="仿宋" w:eastAsia="仿宋" w:cs="Times New Roman"/>
          <w:sz w:val="28"/>
          <w:szCs w:val="28"/>
        </w:rPr>
        <w:t>，南开数学学科</w:t>
      </w:r>
      <w:r>
        <w:rPr>
          <w:rFonts w:ascii="仿宋" w:hAnsi="仿宋" w:eastAsia="仿宋" w:cs="Times New Roman"/>
          <w:sz w:val="28"/>
          <w:szCs w:val="28"/>
        </w:rPr>
        <w:t>入选国家“双一流”</w:t>
      </w:r>
      <w:r>
        <w:rPr>
          <w:rFonts w:hint="eastAsia" w:ascii="仿宋" w:hAnsi="仿宋" w:eastAsia="仿宋" w:cs="Times New Roman"/>
          <w:sz w:val="28"/>
          <w:szCs w:val="28"/>
        </w:rPr>
        <w:t>建设</w:t>
      </w:r>
      <w:r>
        <w:rPr>
          <w:rFonts w:ascii="仿宋" w:hAnsi="仿宋" w:eastAsia="仿宋" w:cs="Times New Roman"/>
          <w:sz w:val="28"/>
          <w:szCs w:val="28"/>
        </w:rPr>
        <w:t>学科，</w:t>
      </w:r>
      <w:r>
        <w:rPr>
          <w:rFonts w:hint="eastAsia" w:ascii="仿宋" w:hAnsi="仿宋" w:eastAsia="仿宋"/>
          <w:sz w:val="28"/>
          <w:szCs w:val="28"/>
        </w:rPr>
        <w:t>在最近的学科评估中位列</w:t>
      </w:r>
      <w:r>
        <w:rPr>
          <w:rFonts w:ascii="仿宋" w:hAnsi="仿宋" w:eastAsia="仿宋"/>
          <w:sz w:val="28"/>
          <w:szCs w:val="28"/>
        </w:rPr>
        <w:t>A</w:t>
      </w:r>
      <w:r>
        <w:rPr>
          <w:rFonts w:hint="eastAsia" w:ascii="仿宋" w:hAnsi="仿宋" w:eastAsia="仿宋"/>
          <w:sz w:val="28"/>
          <w:szCs w:val="28"/>
        </w:rPr>
        <w:t>。南开数学取得了诸多国际领先的研究成果，有力推动科教融合、科研育人。科研成果发表在</w:t>
      </w:r>
      <w:r>
        <w:rPr>
          <w:rFonts w:ascii="仿宋" w:hAnsi="仿宋" w:eastAsia="仿宋"/>
          <w:sz w:val="28"/>
          <w:szCs w:val="28"/>
        </w:rPr>
        <w:t>Acta Math.、Ann. Math.、Invent.Math.等国际数学顶尖期刊，获得发展中国家科学院数学奖3项，国家自然科学奖二等奖2项，还有何梁何利科技进步奖，中国数学会华罗庚数学奖、陈省身数学奖，教育部高校科研成果自然科学奖一等奖，天津市自然科学奖一等奖等多项奖励；已有3人应邀在国际数学家大会上做了45分钟报告，多人应邀在美国数学会年会、亚洲数学家大会和许多国际会议上做报告；</w:t>
      </w:r>
      <w:r>
        <w:rPr>
          <w:rFonts w:hint="eastAsia" w:ascii="仿宋" w:hAnsi="仿宋" w:eastAsia="仿宋"/>
          <w:sz w:val="28"/>
          <w:szCs w:val="28"/>
        </w:rPr>
        <w:t>核心数学与组合数学教育部重点实验室</w:t>
      </w:r>
      <w:r>
        <w:rPr>
          <w:rFonts w:ascii="仿宋" w:hAnsi="仿宋" w:eastAsia="仿宋"/>
          <w:sz w:val="28"/>
          <w:szCs w:val="28"/>
        </w:rPr>
        <w:t>于1999年被列为教育部重点实验室；获批国家自然科学基金委创新群体1项（首批）、重大子项目2项、重点项目12项（</w:t>
      </w:r>
      <w:r>
        <w:rPr>
          <w:rFonts w:hint="eastAsia" w:ascii="仿宋" w:hAnsi="仿宋" w:eastAsia="仿宋"/>
          <w:sz w:val="28"/>
          <w:szCs w:val="28"/>
        </w:rPr>
        <w:t>主持</w:t>
      </w:r>
      <w:r>
        <w:rPr>
          <w:rFonts w:ascii="仿宋" w:hAnsi="仿宋" w:eastAsia="仿宋"/>
          <w:sz w:val="28"/>
          <w:szCs w:val="28"/>
        </w:rPr>
        <w:t>4项，课题骨干8项）、教育部创新团队2项（前两批）、科技部973项目若干（子项目负责人或者骨干）。目前，数学学科在研项目包括基金委重大子项目1项、重点项目1项、杰青</w:t>
      </w:r>
      <w:r>
        <w:rPr>
          <w:rFonts w:hint="eastAsia" w:ascii="仿宋" w:hAnsi="仿宋" w:eastAsia="仿宋"/>
          <w:sz w:val="28"/>
          <w:szCs w:val="28"/>
        </w:rPr>
        <w:t>项目</w:t>
      </w:r>
      <w:r>
        <w:rPr>
          <w:rFonts w:ascii="仿宋" w:hAnsi="仿宋" w:eastAsia="仿宋"/>
          <w:sz w:val="28"/>
          <w:szCs w:val="28"/>
        </w:rPr>
        <w:t>3项、优青</w:t>
      </w:r>
      <w:r>
        <w:rPr>
          <w:rFonts w:hint="eastAsia" w:ascii="仿宋" w:hAnsi="仿宋" w:eastAsia="仿宋"/>
          <w:sz w:val="28"/>
          <w:szCs w:val="28"/>
        </w:rPr>
        <w:t>项目</w:t>
      </w:r>
      <w:r>
        <w:rPr>
          <w:rFonts w:ascii="仿宋" w:hAnsi="仿宋" w:eastAsia="仿宋"/>
          <w:sz w:val="28"/>
          <w:szCs w:val="28"/>
        </w:rPr>
        <w:t>1项、面上</w:t>
      </w:r>
      <w:r>
        <w:rPr>
          <w:rFonts w:hint="eastAsia" w:ascii="仿宋" w:hAnsi="仿宋" w:eastAsia="仿宋"/>
          <w:sz w:val="28"/>
          <w:szCs w:val="28"/>
        </w:rPr>
        <w:t>项目</w:t>
      </w:r>
      <w:r>
        <w:rPr>
          <w:rFonts w:ascii="仿宋" w:hAnsi="仿宋" w:eastAsia="仿宋"/>
          <w:sz w:val="28"/>
          <w:szCs w:val="28"/>
        </w:rPr>
        <w:t>40项。</w:t>
      </w:r>
    </w:p>
    <w:p>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Times New Roman"/>
          <w:sz w:val="28"/>
          <w:szCs w:val="28"/>
        </w:rPr>
        <w:t>南开数学</w:t>
      </w:r>
      <w:r>
        <w:rPr>
          <w:rFonts w:ascii="仿宋" w:hAnsi="仿宋" w:eastAsia="仿宋" w:cs="Times New Roman"/>
          <w:sz w:val="28"/>
          <w:szCs w:val="28"/>
        </w:rPr>
        <w:t>在人才培养体系</w:t>
      </w:r>
      <w:r>
        <w:rPr>
          <w:rFonts w:hint="eastAsia" w:ascii="仿宋" w:hAnsi="仿宋" w:eastAsia="仿宋" w:cs="Times New Roman"/>
          <w:sz w:val="28"/>
          <w:szCs w:val="28"/>
        </w:rPr>
        <w:t>、基础课程建设</w:t>
      </w:r>
      <w:r>
        <w:rPr>
          <w:rFonts w:ascii="仿宋" w:hAnsi="仿宋" w:eastAsia="仿宋" w:cs="Times New Roman"/>
          <w:sz w:val="28"/>
          <w:szCs w:val="28"/>
        </w:rPr>
        <w:t>、教学团队、教材编订</w:t>
      </w:r>
      <w:r>
        <w:rPr>
          <w:rFonts w:hint="eastAsia" w:ascii="仿宋" w:hAnsi="仿宋" w:eastAsia="仿宋" w:cs="Times New Roman"/>
          <w:sz w:val="28"/>
          <w:szCs w:val="28"/>
        </w:rPr>
        <w:t>等方面，</w:t>
      </w:r>
      <w:r>
        <w:rPr>
          <w:rFonts w:ascii="仿宋" w:hAnsi="仿宋" w:eastAsia="仿宋" w:cs="Times New Roman"/>
          <w:sz w:val="28"/>
          <w:szCs w:val="28"/>
        </w:rPr>
        <w:t>不断改革探索</w:t>
      </w:r>
      <w:r>
        <w:rPr>
          <w:rFonts w:hint="eastAsia" w:ascii="仿宋" w:hAnsi="仿宋" w:eastAsia="仿宋" w:cs="Times New Roman"/>
          <w:sz w:val="28"/>
          <w:szCs w:val="28"/>
        </w:rPr>
        <w:t>。教学改革效果显著，连续五届获得国家级教学成果奖。数学与应用数学专业被评为国家级特色专业，拥有国家级教学名师和</w:t>
      </w:r>
      <w:r>
        <w:rPr>
          <w:rFonts w:ascii="仿宋" w:hAnsi="仿宋" w:eastAsia="仿宋" w:cs="Times New Roman"/>
          <w:sz w:val="28"/>
          <w:szCs w:val="28"/>
        </w:rPr>
        <w:t>国家级教学团队，</w:t>
      </w:r>
      <w:r>
        <w:rPr>
          <w:rFonts w:hint="eastAsia" w:ascii="仿宋" w:hAnsi="仿宋" w:eastAsia="仿宋"/>
          <w:sz w:val="28"/>
          <w:szCs w:val="28"/>
        </w:rPr>
        <w:t>专业课程设置先进；获得国家级教学成果奖</w:t>
      </w:r>
      <w:r>
        <w:rPr>
          <w:rFonts w:ascii="仿宋" w:hAnsi="仿宋" w:eastAsia="仿宋"/>
          <w:sz w:val="28"/>
          <w:szCs w:val="28"/>
        </w:rPr>
        <w:t>8项</w:t>
      </w:r>
      <w:r>
        <w:rPr>
          <w:rFonts w:hint="eastAsia" w:ascii="仿宋" w:hAnsi="仿宋" w:eastAsia="仿宋"/>
          <w:sz w:val="28"/>
          <w:szCs w:val="28"/>
        </w:rPr>
        <w:t>；</w:t>
      </w:r>
      <w:r>
        <w:rPr>
          <w:rFonts w:ascii="仿宋" w:hAnsi="仿宋" w:eastAsia="仿宋"/>
          <w:sz w:val="28"/>
          <w:szCs w:val="28"/>
        </w:rPr>
        <w:t>全国优秀教师、宝钢优秀教师7人（2人获特等奖）</w:t>
      </w:r>
      <w:r>
        <w:rPr>
          <w:rFonts w:hint="eastAsia" w:ascii="仿宋" w:hAnsi="仿宋" w:eastAsia="仿宋"/>
          <w:sz w:val="28"/>
          <w:szCs w:val="28"/>
        </w:rPr>
        <w:t>；</w:t>
      </w:r>
      <w:r>
        <w:rPr>
          <w:rFonts w:ascii="仿宋" w:hAnsi="仿宋" w:eastAsia="仿宋"/>
          <w:sz w:val="28"/>
          <w:szCs w:val="28"/>
        </w:rPr>
        <w:t>入选全国优秀教材、国家级规划教材20余本</w:t>
      </w:r>
      <w:r>
        <w:rPr>
          <w:rFonts w:hint="eastAsia" w:ascii="仿宋" w:hAnsi="仿宋" w:eastAsia="仿宋"/>
          <w:sz w:val="28"/>
          <w:szCs w:val="28"/>
        </w:rPr>
        <w:t>；</w:t>
      </w:r>
      <w:r>
        <w:rPr>
          <w:rFonts w:ascii="仿宋" w:hAnsi="仿宋" w:eastAsia="仿宋"/>
          <w:sz w:val="28"/>
          <w:szCs w:val="28"/>
        </w:rPr>
        <w:t>教育部</w:t>
      </w:r>
      <w:r>
        <w:rPr>
          <w:rFonts w:hint="eastAsia" w:ascii="仿宋" w:hAnsi="仿宋" w:eastAsia="仿宋"/>
          <w:sz w:val="28"/>
          <w:szCs w:val="28"/>
        </w:rPr>
        <w:t>国家级精品慕课</w:t>
      </w:r>
      <w:r>
        <w:rPr>
          <w:rFonts w:ascii="仿宋" w:hAnsi="仿宋" w:eastAsia="仿宋"/>
          <w:sz w:val="28"/>
          <w:szCs w:val="28"/>
        </w:rPr>
        <w:t>、国家级精品课程10余门</w:t>
      </w:r>
      <w:r>
        <w:rPr>
          <w:rFonts w:hint="eastAsia" w:ascii="仿宋" w:hAnsi="仿宋" w:eastAsia="仿宋"/>
          <w:sz w:val="28"/>
          <w:szCs w:val="28"/>
        </w:rPr>
        <w:t>。</w:t>
      </w:r>
      <w:r>
        <w:rPr>
          <w:rFonts w:ascii="仿宋" w:hAnsi="仿宋" w:eastAsia="仿宋" w:cs="Times New Roman"/>
          <w:sz w:val="28"/>
          <w:szCs w:val="28"/>
        </w:rPr>
        <w:t>在几次教学评估中，南开数学均为“优秀”</w:t>
      </w:r>
      <w:r>
        <w:rPr>
          <w:rFonts w:hint="eastAsia" w:ascii="仿宋" w:hAnsi="仿宋" w:eastAsia="仿宋" w:cs="Times New Roman"/>
          <w:sz w:val="28"/>
          <w:szCs w:val="28"/>
        </w:rPr>
        <w:t>。</w:t>
      </w:r>
    </w:p>
    <w:p>
      <w:pPr>
        <w:spacing w:line="360" w:lineRule="auto"/>
        <w:rPr>
          <w:rFonts w:ascii="仿宋" w:hAnsi="仿宋" w:eastAsia="仿宋" w:cs="Times New Roman"/>
          <w:b/>
          <w:sz w:val="28"/>
          <w:szCs w:val="28"/>
        </w:rPr>
      </w:pPr>
      <w:r>
        <w:rPr>
          <w:rFonts w:hint="eastAsia" w:ascii="仿宋" w:hAnsi="仿宋" w:eastAsia="仿宋" w:cs="Times New Roman"/>
          <w:b/>
          <w:sz w:val="28"/>
          <w:szCs w:val="28"/>
        </w:rPr>
        <w:t>（二）师资队伍</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数学学科现有专任教师</w:t>
      </w:r>
      <w:r>
        <w:rPr>
          <w:rFonts w:ascii="仿宋" w:hAnsi="仿宋" w:eastAsia="仿宋"/>
          <w:sz w:val="28"/>
          <w:szCs w:val="28"/>
        </w:rPr>
        <w:t>9</w:t>
      </w:r>
      <w:r>
        <w:rPr>
          <w:rFonts w:hint="eastAsia" w:ascii="仿宋" w:hAnsi="仿宋" w:eastAsia="仿宋"/>
          <w:sz w:val="28"/>
          <w:szCs w:val="28"/>
        </w:rPr>
        <w:t>4</w:t>
      </w:r>
      <w:r>
        <w:rPr>
          <w:rFonts w:ascii="仿宋" w:hAnsi="仿宋" w:eastAsia="仿宋"/>
          <w:sz w:val="28"/>
          <w:szCs w:val="28"/>
        </w:rPr>
        <w:t>人，包括中国科学院院士3人、发展中国家科学院院士3人，国家级教学名师1人（首批）、国际数学化学科学院院士1人，国家杰青7人，</w:t>
      </w:r>
      <w:r>
        <w:rPr>
          <w:rFonts w:hint="eastAsia" w:ascii="仿宋" w:hAnsi="仿宋" w:eastAsia="仿宋"/>
          <w:sz w:val="28"/>
          <w:szCs w:val="28"/>
        </w:rPr>
        <w:t>以及其他高端人才7人，四青人才9人</w:t>
      </w:r>
      <w:r>
        <w:rPr>
          <w:rFonts w:ascii="仿宋" w:hAnsi="仿宋" w:eastAsia="仿宋"/>
          <w:sz w:val="28"/>
          <w:szCs w:val="28"/>
        </w:rPr>
        <w:t>，教育部跨世纪人才2人、新世纪人才11人</w:t>
      </w:r>
      <w:r>
        <w:rPr>
          <w:rFonts w:hint="eastAsia" w:ascii="仿宋" w:hAnsi="仿宋" w:eastAsia="仿宋"/>
          <w:sz w:val="28"/>
          <w:szCs w:val="28"/>
        </w:rPr>
        <w:t>，</w:t>
      </w:r>
      <w:r>
        <w:rPr>
          <w:rFonts w:ascii="仿宋" w:hAnsi="仿宋" w:eastAsia="仿宋"/>
          <w:sz w:val="28"/>
          <w:szCs w:val="28"/>
        </w:rPr>
        <w:t>另有天津市各类人才</w:t>
      </w:r>
      <w:r>
        <w:rPr>
          <w:rFonts w:hint="eastAsia" w:ascii="仿宋" w:hAnsi="仿宋" w:eastAsia="仿宋"/>
          <w:sz w:val="28"/>
          <w:szCs w:val="28"/>
        </w:rPr>
        <w:t>24</w:t>
      </w:r>
      <w:r>
        <w:rPr>
          <w:rFonts w:ascii="仿宋" w:hAnsi="仿宋" w:eastAsia="仿宋"/>
          <w:sz w:val="28"/>
          <w:szCs w:val="28"/>
        </w:rPr>
        <w:t>人</w:t>
      </w:r>
      <w:r>
        <w:rPr>
          <w:rFonts w:hint="eastAsia" w:ascii="仿宋" w:hAnsi="仿宋" w:eastAsia="仿宋"/>
          <w:sz w:val="28"/>
          <w:szCs w:val="28"/>
        </w:rPr>
        <w:t>。</w:t>
      </w:r>
    </w:p>
    <w:p>
      <w:pPr>
        <w:spacing w:line="360" w:lineRule="auto"/>
        <w:ind w:firstLine="560" w:firstLineChars="200"/>
        <w:rPr>
          <w:rFonts w:ascii="仿宋" w:hAnsi="仿宋" w:eastAsia="仿宋"/>
          <w:b/>
          <w:sz w:val="28"/>
          <w:szCs w:val="28"/>
        </w:rPr>
      </w:pPr>
      <w:r>
        <w:rPr>
          <w:rFonts w:ascii="仿宋" w:hAnsi="仿宋" w:eastAsia="仿宋" w:cs="Times New Roman"/>
          <w:sz w:val="28"/>
          <w:szCs w:val="28"/>
        </w:rPr>
        <w:t>张伟平院士领衔的“微分几何”创新群体入选国家自然科学基金委创新群体，“微分几何”</w:t>
      </w:r>
      <w:r>
        <w:rPr>
          <w:rFonts w:hint="eastAsia" w:ascii="仿宋" w:hAnsi="仿宋" w:eastAsia="仿宋" w:cs="Times New Roman"/>
          <w:sz w:val="28"/>
          <w:szCs w:val="28"/>
        </w:rPr>
        <w:t>和</w:t>
      </w:r>
      <w:r>
        <w:rPr>
          <w:rFonts w:ascii="仿宋" w:hAnsi="仿宋" w:eastAsia="仿宋" w:cs="Times New Roman"/>
          <w:sz w:val="28"/>
          <w:szCs w:val="28"/>
        </w:rPr>
        <w:t>“组合数学”2支团队入选教育部创新团队，“科学素质教育系列公共课教学团队”入选国家级教学团队。</w:t>
      </w:r>
      <w:r>
        <w:rPr>
          <w:rFonts w:hint="eastAsia" w:ascii="仿宋" w:hAnsi="仿宋" w:eastAsia="仿宋" w:cs="Times New Roman"/>
          <w:b/>
          <w:color w:val="000000"/>
          <w:kern w:val="0"/>
          <w:sz w:val="28"/>
          <w:szCs w:val="28"/>
        </w:rPr>
        <w:t>（三）教学及科研条件</w:t>
      </w:r>
      <w:r>
        <w:rPr>
          <w:rFonts w:hint="eastAsia" w:ascii="仿宋" w:hAnsi="仿宋" w:eastAsia="仿宋"/>
          <w:b/>
          <w:sz w:val="28"/>
          <w:szCs w:val="28"/>
        </w:rPr>
        <w:t>资源平台</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数学强基计划为本博衔接式培养，拥有数学与应用数学、统计学、智能科学与技术三个国家一流本科生专业，汇集进入全球前1%行列的数学和计算机两大学科领域，充分利用南开数学学科、统计学科、计算机科学与技术学科、网络空间安全学科、人工智能学科等顶尖的教学科研资源，所依托的教学与科研资源具体平台如下。</w:t>
      </w:r>
    </w:p>
    <w:p>
      <w:pPr>
        <w:pStyle w:val="14"/>
        <w:numPr>
          <w:ilvl w:val="0"/>
          <w:numId w:val="1"/>
        </w:numPr>
        <w:spacing w:line="360" w:lineRule="auto"/>
        <w:ind w:firstLineChars="0"/>
        <w:rPr>
          <w:rFonts w:ascii="仿宋" w:hAnsi="仿宋" w:eastAsia="仿宋" w:cs="Times New Roman"/>
          <w:b/>
          <w:kern w:val="0"/>
          <w:sz w:val="28"/>
          <w:szCs w:val="28"/>
        </w:rPr>
      </w:pPr>
      <w:r>
        <w:rPr>
          <w:rFonts w:hint="eastAsia" w:ascii="仿宋" w:hAnsi="仿宋" w:eastAsia="仿宋"/>
          <w:b/>
          <w:sz w:val="28"/>
          <w:szCs w:val="28"/>
        </w:rPr>
        <w:t>南开数学学科依托的教学及科研资源平台</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1.陈省身数学研究所和组合数学中心。数学与</w:t>
      </w:r>
      <w:r>
        <w:rPr>
          <w:rFonts w:ascii="仿宋" w:hAnsi="仿宋" w:eastAsia="仿宋" w:cs="Times New Roman"/>
          <w:sz w:val="28"/>
          <w:szCs w:val="28"/>
        </w:rPr>
        <w:t>应用数学</w:t>
      </w:r>
      <w:r>
        <w:rPr>
          <w:rFonts w:hint="eastAsia" w:ascii="仿宋" w:hAnsi="仿宋" w:eastAsia="仿宋" w:cs="Times New Roman"/>
          <w:sz w:val="28"/>
          <w:szCs w:val="28"/>
        </w:rPr>
        <w:t>专业由南开大学数学科学学院、陈省身数学研究所、组合数学中心合作建设，充分利用了这些国内著名研究机构在师资和</w:t>
      </w:r>
      <w:r>
        <w:rPr>
          <w:rFonts w:hint="eastAsia" w:ascii="仿宋" w:hAnsi="仿宋" w:eastAsia="仿宋"/>
          <w:sz w:val="28"/>
          <w:szCs w:val="28"/>
        </w:rPr>
        <w:t>科研</w:t>
      </w:r>
      <w:r>
        <w:rPr>
          <w:rFonts w:hint="eastAsia" w:ascii="仿宋" w:hAnsi="仿宋" w:eastAsia="仿宋" w:cs="Times New Roman"/>
          <w:sz w:val="28"/>
          <w:szCs w:val="28"/>
        </w:rPr>
        <w:t>优势资源，全面提升基础数学人才的培养质量。</w:t>
      </w:r>
    </w:p>
    <w:p>
      <w:pPr>
        <w:adjustRightInd w:val="0"/>
        <w:snapToGrid w:val="0"/>
        <w:spacing w:line="360" w:lineRule="auto"/>
        <w:ind w:firstLine="420" w:firstLineChars="150"/>
        <w:rPr>
          <w:rFonts w:ascii="仿宋" w:hAnsi="仿宋" w:eastAsia="仿宋"/>
          <w:sz w:val="28"/>
          <w:szCs w:val="28"/>
        </w:rPr>
      </w:pPr>
      <w:r>
        <w:rPr>
          <w:rFonts w:hint="eastAsia" w:ascii="仿宋" w:hAnsi="仿宋" w:eastAsia="仿宋"/>
          <w:sz w:val="28"/>
          <w:szCs w:val="28"/>
        </w:rPr>
        <w:t>2.“核心数学与组合数学”教育部重点实验室。该实验室在流形上的几何与拓扑、动力系统与非线性分析、离散数学与组合数学等研究方向取得重大突破，其成果达到了国际领先水平，以强大的科研团队带动拔尖人才培养，对学生进行学术引领和人生指导。</w:t>
      </w:r>
    </w:p>
    <w:p>
      <w:pPr>
        <w:adjustRightInd w:val="0"/>
        <w:snapToGrid w:val="0"/>
        <w:spacing w:line="360" w:lineRule="auto"/>
        <w:ind w:firstLine="420" w:firstLineChars="150"/>
        <w:rPr>
          <w:rFonts w:ascii="仿宋" w:hAnsi="仿宋" w:eastAsia="仿宋"/>
          <w:sz w:val="28"/>
          <w:szCs w:val="28"/>
        </w:rPr>
      </w:pPr>
      <w:r>
        <w:rPr>
          <w:rFonts w:hint="eastAsia" w:ascii="仿宋" w:hAnsi="仿宋" w:eastAsia="仿宋"/>
          <w:sz w:val="28"/>
          <w:szCs w:val="28"/>
        </w:rPr>
        <w:t>3.南开数学图书馆。该馆是一个服务于全国数学专业的研究型、开放式的图书馆，馆藏丰富，大量原版书籍为学生提供了良好的科研条件和的学习氛围。</w:t>
      </w:r>
    </w:p>
    <w:p>
      <w:pPr>
        <w:pStyle w:val="14"/>
        <w:numPr>
          <w:ilvl w:val="0"/>
          <w:numId w:val="1"/>
        </w:numPr>
        <w:snapToGrid w:val="0"/>
        <w:spacing w:line="360" w:lineRule="auto"/>
        <w:ind w:firstLineChars="0"/>
        <w:rPr>
          <w:rFonts w:ascii="仿宋" w:hAnsi="仿宋" w:eastAsia="仿宋"/>
          <w:b/>
          <w:sz w:val="28"/>
          <w:szCs w:val="28"/>
        </w:rPr>
      </w:pPr>
      <w:r>
        <w:rPr>
          <w:rFonts w:hint="eastAsia" w:ascii="仿宋" w:hAnsi="仿宋" w:eastAsia="仿宋"/>
          <w:b/>
          <w:sz w:val="28"/>
          <w:szCs w:val="28"/>
        </w:rPr>
        <w:t>南开统计学科依托的教学与科研资源平台</w:t>
      </w:r>
    </w:p>
    <w:p>
      <w:pPr>
        <w:snapToGrid w:val="0"/>
        <w:spacing w:line="360" w:lineRule="auto"/>
        <w:ind w:firstLine="480"/>
        <w:rPr>
          <w:rFonts w:ascii="仿宋" w:hAnsi="仿宋" w:eastAsia="仿宋"/>
          <w:sz w:val="28"/>
          <w:szCs w:val="28"/>
        </w:rPr>
      </w:pPr>
      <w:r>
        <w:rPr>
          <w:rFonts w:hint="eastAsia" w:ascii="仿宋" w:hAnsi="仿宋" w:eastAsia="仿宋"/>
          <w:sz w:val="28"/>
          <w:szCs w:val="28"/>
        </w:rPr>
        <w:t>1.天津市医药数据分析与统计研究重点实验室。该重点实验室成立于2018年，实验室依托统计与数据科学学院，与数学科学学院、药学院、计算机学院共建。主要在医药数据分析的统计理论与方法、临床医药数据分析与智能诊疗和生物信息学及大数据分析与创新药物研发等领域开展工作，旨在加强涉及医药大数据处理与分析的各优势学科之间的有效融合，以统计学及优势交叉学科雄厚的师资和强大的科研团队带动强基计划人才的培养，对学生进行有效的学术引领和科研训练。</w:t>
      </w:r>
    </w:p>
    <w:p>
      <w:pPr>
        <w:snapToGrid w:val="0"/>
        <w:spacing w:line="360" w:lineRule="auto"/>
        <w:ind w:firstLine="480"/>
        <w:rPr>
          <w:rFonts w:ascii="仿宋" w:hAnsi="仿宋" w:eastAsia="仿宋"/>
          <w:sz w:val="28"/>
          <w:szCs w:val="28"/>
        </w:rPr>
      </w:pPr>
      <w:r>
        <w:rPr>
          <w:rFonts w:hint="eastAsia" w:ascii="仿宋" w:hAnsi="仿宋" w:eastAsia="仿宋"/>
          <w:sz w:val="28"/>
          <w:szCs w:val="28"/>
        </w:rPr>
        <w:t>2.智英健康数据研究中心。该中心由南开大学1979级数学系校友、物美集团创始人张文中捐资设立，致力于建设国际前沿的科技创新研发平台，建立世界一流的健康数据中心。中心定期开展各种学术交流和研究、普及健康热点知识，将为学生提供更多的学术交流和科研训练的机会。</w:t>
      </w:r>
    </w:p>
    <w:p>
      <w:pPr>
        <w:snapToGrid w:val="0"/>
        <w:spacing w:line="360" w:lineRule="auto"/>
        <w:ind w:firstLine="480"/>
        <w:rPr>
          <w:rFonts w:ascii="仿宋" w:hAnsi="仿宋" w:eastAsia="仿宋"/>
          <w:sz w:val="28"/>
          <w:szCs w:val="28"/>
        </w:rPr>
      </w:pPr>
      <w:r>
        <w:rPr>
          <w:rFonts w:hint="eastAsia" w:ascii="仿宋" w:hAnsi="仿宋" w:eastAsia="仿宋"/>
          <w:sz w:val="28"/>
          <w:szCs w:val="28"/>
        </w:rPr>
        <w:t>3.数据分析与建模平台。为了给学生在校期间提供进行大数据处理、分析与建模的良好平台，鼓励大学生认识金融投研行业，积极学习投资研究工具，培养大学生创新意识、问题探究和团队协作等能力。</w:t>
      </w:r>
    </w:p>
    <w:p>
      <w:pPr>
        <w:pStyle w:val="14"/>
        <w:numPr>
          <w:ilvl w:val="0"/>
          <w:numId w:val="1"/>
        </w:numPr>
        <w:spacing w:line="360" w:lineRule="auto"/>
        <w:ind w:firstLineChars="0"/>
        <w:rPr>
          <w:rFonts w:ascii="仿宋" w:hAnsi="仿宋" w:eastAsia="仿宋"/>
          <w:b/>
          <w:sz w:val="28"/>
          <w:szCs w:val="28"/>
        </w:rPr>
      </w:pPr>
      <w:r>
        <w:rPr>
          <w:rFonts w:hint="eastAsia" w:ascii="仿宋" w:hAnsi="仿宋" w:eastAsia="仿宋"/>
          <w:b/>
          <w:sz w:val="28"/>
          <w:szCs w:val="28"/>
        </w:rPr>
        <w:t>南开计算机、网络空间安全学科依托的教学及科研资源平台</w:t>
      </w:r>
    </w:p>
    <w:p>
      <w:pPr>
        <w:adjustRightInd w:val="0"/>
        <w:snapToGrid w:val="0"/>
        <w:spacing w:line="360" w:lineRule="auto"/>
        <w:ind w:firstLine="420" w:firstLineChars="150"/>
        <w:rPr>
          <w:rFonts w:ascii="仿宋" w:hAnsi="仿宋" w:eastAsia="仿宋"/>
          <w:sz w:val="28"/>
          <w:szCs w:val="28"/>
        </w:rPr>
      </w:pPr>
      <w:r>
        <w:rPr>
          <w:rFonts w:hint="eastAsia" w:ascii="仿宋" w:hAnsi="仿宋" w:eastAsia="仿宋"/>
          <w:sz w:val="28"/>
          <w:szCs w:val="28"/>
        </w:rPr>
        <w:t>拥有各类国家级、省部级和校级教学、实验和科研平台，实验场地大、条件好、投入力度大。</w:t>
      </w:r>
    </w:p>
    <w:p>
      <w:pPr>
        <w:snapToGrid w:val="0"/>
        <w:spacing w:line="360" w:lineRule="auto"/>
        <w:ind w:firstLine="560" w:firstLineChars="200"/>
        <w:rPr>
          <w:rFonts w:ascii="仿宋" w:hAnsi="仿宋" w:eastAsia="仿宋"/>
          <w:sz w:val="28"/>
          <w:szCs w:val="28"/>
        </w:rPr>
      </w:pPr>
      <w:r>
        <w:rPr>
          <w:rFonts w:hint="eastAsia" w:ascii="仿宋" w:hAnsi="仿宋" w:eastAsia="仿宋"/>
          <w:bCs/>
          <w:sz w:val="28"/>
          <w:szCs w:val="28"/>
        </w:rPr>
        <w:t>1.国家级省部级教学平台</w:t>
      </w:r>
      <w:r>
        <w:rPr>
          <w:rFonts w:hint="eastAsia" w:ascii="仿宋" w:hAnsi="仿宋" w:eastAsia="仿宋" w:cs="Times New Roman"/>
          <w:sz w:val="28"/>
          <w:szCs w:val="28"/>
        </w:rPr>
        <w:t>。</w:t>
      </w:r>
      <w:r>
        <w:rPr>
          <w:rFonts w:hint="eastAsia" w:ascii="仿宋" w:hAnsi="仿宋" w:eastAsia="仿宋"/>
          <w:sz w:val="28"/>
          <w:szCs w:val="28"/>
        </w:rPr>
        <w:t>顺应国家新工科发展大势，南开计算机学科、网络空间安全学科着力发展教学实验类平台，建设了国家级平台“计算机与控制工程虚拟仿真实验教学中心”、“国家大学生校外实践教育基地”，省部级平台“计算机与控制工程天津市示范实验教学中心”、“媒体计算国际联合研究中心”以及校企合作平台“华为沃土AI人才培养计划”、“网络靶场实践基地”等。</w:t>
      </w:r>
    </w:p>
    <w:p>
      <w:pPr>
        <w:pStyle w:val="14"/>
        <w:numPr>
          <w:ilvl w:val="0"/>
          <w:numId w:val="2"/>
        </w:numPr>
        <w:spacing w:line="360" w:lineRule="auto"/>
        <w:ind w:left="0" w:firstLine="595" w:firstLineChars="0"/>
        <w:rPr>
          <w:rFonts w:ascii="仿宋" w:hAnsi="仿宋" w:eastAsia="仿宋"/>
          <w:sz w:val="28"/>
          <w:szCs w:val="28"/>
        </w:rPr>
      </w:pPr>
      <w:r>
        <w:rPr>
          <w:rFonts w:hint="eastAsia" w:ascii="仿宋" w:hAnsi="仿宋" w:eastAsia="仿宋"/>
          <w:bCs/>
          <w:sz w:val="28"/>
          <w:szCs w:val="28"/>
        </w:rPr>
        <w:t>国家级教学平台：计算机与控制工程国家级虚拟仿真实验教学中心，坐落于南开大学津南校区，用作信息安全虚拟仿真建设。</w:t>
      </w:r>
    </w:p>
    <w:p>
      <w:pPr>
        <w:pStyle w:val="14"/>
        <w:spacing w:line="360" w:lineRule="auto"/>
        <w:ind w:left="595" w:firstLine="0" w:firstLineChars="0"/>
        <w:rPr>
          <w:rFonts w:hint="eastAsia" w:ascii="仿宋" w:hAnsi="仿宋" w:eastAsia="仿宋"/>
          <w:sz w:val="28"/>
          <w:szCs w:val="28"/>
        </w:rPr>
      </w:pPr>
    </w:p>
    <w:tbl>
      <w:tblPr>
        <w:tblStyle w:val="10"/>
        <w:tblW w:w="7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4"/>
        <w:gridCol w:w="3242"/>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777" w:type="dxa"/>
            <w:gridSpan w:val="3"/>
            <w:vAlign w:val="center"/>
          </w:tcPr>
          <w:p>
            <w:pPr>
              <w:spacing w:line="360" w:lineRule="auto"/>
              <w:ind w:firstLine="422"/>
              <w:jc w:val="center"/>
              <w:rPr>
                <w:rFonts w:ascii="黑体" w:hAnsi="黑体" w:eastAsia="黑体"/>
                <w:b/>
                <w:bCs/>
                <w:szCs w:val="21"/>
              </w:rPr>
            </w:pPr>
            <w:r>
              <w:rPr>
                <w:rFonts w:hint="eastAsia" w:ascii="黑体" w:hAnsi="黑体" w:eastAsia="黑体"/>
                <w:b/>
                <w:bCs/>
                <w:szCs w:val="21"/>
              </w:rPr>
              <w:t>国家级教学实验平台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3164" w:type="dxa"/>
            <w:vAlign w:val="center"/>
          </w:tcPr>
          <w:p>
            <w:pPr>
              <w:spacing w:line="360" w:lineRule="auto"/>
              <w:ind w:firstLine="422"/>
              <w:jc w:val="center"/>
              <w:rPr>
                <w:rFonts w:ascii="黑体" w:hAnsi="黑体" w:eastAsia="黑体"/>
                <w:b/>
                <w:bCs/>
                <w:szCs w:val="21"/>
              </w:rPr>
            </w:pPr>
            <w:r>
              <w:rPr>
                <w:rFonts w:ascii="黑体" w:hAnsi="黑体" w:eastAsia="黑体"/>
                <w:b/>
                <w:bCs/>
                <w:szCs w:val="21"/>
              </w:rPr>
              <w:t>名称</w:t>
            </w:r>
          </w:p>
        </w:tc>
        <w:tc>
          <w:tcPr>
            <w:tcW w:w="3242" w:type="dxa"/>
            <w:vAlign w:val="center"/>
          </w:tcPr>
          <w:p>
            <w:pPr>
              <w:spacing w:line="360" w:lineRule="auto"/>
              <w:ind w:firstLine="422"/>
              <w:jc w:val="center"/>
              <w:rPr>
                <w:rFonts w:ascii="黑体" w:hAnsi="黑体" w:eastAsia="黑体"/>
                <w:b/>
                <w:bCs/>
                <w:szCs w:val="21"/>
              </w:rPr>
            </w:pPr>
            <w:r>
              <w:rPr>
                <w:rFonts w:hint="eastAsia" w:ascii="黑体" w:hAnsi="黑体" w:eastAsia="黑体"/>
                <w:b/>
                <w:bCs/>
                <w:szCs w:val="21"/>
              </w:rPr>
              <w:t>级别</w:t>
            </w:r>
          </w:p>
        </w:tc>
        <w:tc>
          <w:tcPr>
            <w:tcW w:w="1370" w:type="dxa"/>
            <w:vAlign w:val="center"/>
          </w:tcPr>
          <w:p>
            <w:pPr>
              <w:spacing w:line="360" w:lineRule="auto"/>
              <w:jc w:val="center"/>
              <w:rPr>
                <w:rFonts w:ascii="黑体" w:hAnsi="黑体" w:eastAsia="黑体"/>
                <w:b/>
                <w:bCs/>
                <w:szCs w:val="21"/>
              </w:rPr>
            </w:pPr>
            <w:r>
              <w:rPr>
                <w:rFonts w:ascii="黑体" w:hAnsi="黑体" w:eastAsia="黑体"/>
                <w:b/>
                <w:bCs/>
                <w:szCs w:val="21"/>
              </w:rPr>
              <w:t>获批时间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3164" w:type="dxa"/>
            <w:vAlign w:val="center"/>
          </w:tcPr>
          <w:p>
            <w:pPr>
              <w:spacing w:line="360" w:lineRule="auto"/>
              <w:jc w:val="center"/>
              <w:rPr>
                <w:rFonts w:eastAsia="仿宋"/>
                <w:szCs w:val="21"/>
              </w:rPr>
            </w:pPr>
            <w:r>
              <w:rPr>
                <w:rFonts w:hint="eastAsia" w:eastAsia="仿宋"/>
                <w:szCs w:val="21"/>
              </w:rPr>
              <w:t>计算机与控制工程虚拟仿真实验教学中心</w:t>
            </w:r>
          </w:p>
        </w:tc>
        <w:tc>
          <w:tcPr>
            <w:tcW w:w="3242" w:type="dxa"/>
            <w:vAlign w:val="center"/>
          </w:tcPr>
          <w:p>
            <w:pPr>
              <w:spacing w:line="360" w:lineRule="auto"/>
              <w:jc w:val="center"/>
              <w:rPr>
                <w:rFonts w:eastAsia="仿宋"/>
                <w:szCs w:val="21"/>
              </w:rPr>
            </w:pPr>
            <w:r>
              <w:rPr>
                <w:rFonts w:hint="eastAsia" w:eastAsia="仿宋"/>
                <w:szCs w:val="21"/>
              </w:rPr>
              <w:t>国家级虚拟仿真实验教学中心</w:t>
            </w:r>
          </w:p>
        </w:tc>
        <w:tc>
          <w:tcPr>
            <w:tcW w:w="1370" w:type="dxa"/>
            <w:vAlign w:val="center"/>
          </w:tcPr>
          <w:p>
            <w:pPr>
              <w:spacing w:line="360" w:lineRule="auto"/>
              <w:jc w:val="center"/>
              <w:rPr>
                <w:rFonts w:eastAsia="仿宋"/>
                <w:szCs w:val="21"/>
              </w:rPr>
            </w:pPr>
            <w:r>
              <w:rPr>
                <w:rFonts w:hint="eastAsia" w:eastAsia="仿宋"/>
                <w:szCs w:val="21"/>
              </w:rPr>
              <w:t>2</w:t>
            </w:r>
            <w:r>
              <w:rPr>
                <w:rFonts w:eastAsia="仿宋"/>
                <w:szCs w:val="21"/>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3164" w:type="dxa"/>
            <w:vAlign w:val="center"/>
          </w:tcPr>
          <w:p>
            <w:pPr>
              <w:spacing w:line="360" w:lineRule="auto"/>
              <w:jc w:val="center"/>
              <w:rPr>
                <w:rFonts w:eastAsia="仿宋"/>
                <w:szCs w:val="21"/>
              </w:rPr>
            </w:pPr>
            <w:r>
              <w:rPr>
                <w:rFonts w:hint="eastAsia" w:eastAsia="仿宋"/>
                <w:szCs w:val="21"/>
              </w:rPr>
              <w:t>国家大学生校外实践教育基地</w:t>
            </w:r>
          </w:p>
        </w:tc>
        <w:tc>
          <w:tcPr>
            <w:tcW w:w="3242" w:type="dxa"/>
            <w:vAlign w:val="center"/>
          </w:tcPr>
          <w:p>
            <w:pPr>
              <w:spacing w:line="360" w:lineRule="auto"/>
              <w:jc w:val="center"/>
              <w:rPr>
                <w:rFonts w:eastAsia="仿宋"/>
                <w:szCs w:val="21"/>
              </w:rPr>
            </w:pPr>
            <w:r>
              <w:rPr>
                <w:rFonts w:hint="eastAsia" w:eastAsia="仿宋"/>
                <w:szCs w:val="21"/>
              </w:rPr>
              <w:t>国家</w:t>
            </w:r>
            <w:r>
              <w:rPr>
                <w:rFonts w:eastAsia="仿宋"/>
                <w:szCs w:val="21"/>
              </w:rPr>
              <w:t>级</w:t>
            </w:r>
          </w:p>
        </w:tc>
        <w:tc>
          <w:tcPr>
            <w:tcW w:w="1370" w:type="dxa"/>
            <w:vAlign w:val="center"/>
          </w:tcPr>
          <w:p>
            <w:pPr>
              <w:spacing w:line="360" w:lineRule="auto"/>
              <w:jc w:val="center"/>
              <w:rPr>
                <w:rFonts w:eastAsia="仿宋"/>
                <w:szCs w:val="21"/>
              </w:rPr>
            </w:pPr>
            <w:r>
              <w:rPr>
                <w:rFonts w:hint="eastAsia" w:eastAsia="仿宋"/>
                <w:szCs w:val="21"/>
              </w:rPr>
              <w:t>2</w:t>
            </w:r>
            <w:r>
              <w:rPr>
                <w:rFonts w:eastAsia="仿宋"/>
                <w:szCs w:val="21"/>
              </w:rPr>
              <w:t>016</w:t>
            </w:r>
          </w:p>
        </w:tc>
      </w:tr>
    </w:tbl>
    <w:p>
      <w:pPr>
        <w:spacing w:before="156" w:beforeLines="50" w:after="156" w:afterLines="50" w:line="360" w:lineRule="auto"/>
        <w:rPr>
          <w:rFonts w:hint="eastAsia" w:eastAsia="仿宋"/>
          <w:sz w:val="28"/>
          <w:szCs w:val="28"/>
        </w:rPr>
      </w:pPr>
    </w:p>
    <w:p>
      <w:pPr>
        <w:pStyle w:val="14"/>
        <w:numPr>
          <w:ilvl w:val="0"/>
          <w:numId w:val="2"/>
        </w:numPr>
        <w:spacing w:before="156" w:beforeLines="50" w:after="156" w:afterLines="50" w:line="360" w:lineRule="auto"/>
        <w:ind w:left="0" w:firstLine="454" w:firstLineChars="0"/>
        <w:rPr>
          <w:rFonts w:eastAsia="仿宋"/>
          <w:sz w:val="28"/>
          <w:szCs w:val="28"/>
        </w:rPr>
      </w:pPr>
      <w:r>
        <w:rPr>
          <w:rFonts w:hint="eastAsia" w:eastAsia="仿宋"/>
          <w:bCs/>
          <w:sz w:val="28"/>
          <w:szCs w:val="28"/>
        </w:rPr>
        <w:t>省部级教学平台：</w:t>
      </w:r>
      <w:r>
        <w:rPr>
          <w:rFonts w:hint="eastAsia" w:eastAsia="仿宋"/>
          <w:sz w:val="28"/>
          <w:szCs w:val="28"/>
        </w:rPr>
        <w:t>获批“面向校园网虚实结合的整站攻击实验”天津市</w:t>
      </w:r>
      <w:r>
        <w:rPr>
          <w:rFonts w:hint="eastAsia" w:eastAsia="仿宋"/>
          <w:bCs/>
          <w:sz w:val="28"/>
          <w:szCs w:val="28"/>
        </w:rPr>
        <w:t>虚拟仿真实验建设项目。</w:t>
      </w:r>
    </w:p>
    <w:tbl>
      <w:tblPr>
        <w:tblStyle w:val="10"/>
        <w:tblW w:w="7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5"/>
        <w:gridCol w:w="3116"/>
        <w:gridCol w:w="1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94" w:type="dxa"/>
            <w:gridSpan w:val="3"/>
            <w:vAlign w:val="center"/>
          </w:tcPr>
          <w:p>
            <w:pPr>
              <w:spacing w:line="360" w:lineRule="auto"/>
              <w:ind w:firstLine="442"/>
              <w:jc w:val="center"/>
              <w:rPr>
                <w:rFonts w:ascii="黑体" w:hAnsi="黑体" w:eastAsia="黑体"/>
                <w:b/>
                <w:bCs/>
                <w:sz w:val="22"/>
                <w:szCs w:val="21"/>
              </w:rPr>
            </w:pPr>
            <w:r>
              <w:rPr>
                <w:rFonts w:hint="eastAsia" w:ascii="黑体" w:hAnsi="黑体" w:eastAsia="黑体"/>
                <w:b/>
                <w:bCs/>
                <w:sz w:val="22"/>
                <w:szCs w:val="21"/>
              </w:rPr>
              <w:t>省部级教学实验平台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5" w:type="dxa"/>
            <w:vAlign w:val="center"/>
          </w:tcPr>
          <w:p>
            <w:pPr>
              <w:spacing w:line="360" w:lineRule="auto"/>
              <w:ind w:firstLine="442"/>
              <w:jc w:val="center"/>
              <w:rPr>
                <w:rFonts w:ascii="黑体" w:hAnsi="黑体" w:eastAsia="黑体"/>
                <w:b/>
                <w:bCs/>
                <w:sz w:val="22"/>
                <w:szCs w:val="21"/>
              </w:rPr>
            </w:pPr>
            <w:r>
              <w:rPr>
                <w:rFonts w:ascii="黑体" w:hAnsi="黑体" w:eastAsia="黑体"/>
                <w:b/>
                <w:bCs/>
                <w:sz w:val="22"/>
                <w:szCs w:val="21"/>
              </w:rPr>
              <w:t>名称</w:t>
            </w:r>
          </w:p>
        </w:tc>
        <w:tc>
          <w:tcPr>
            <w:tcW w:w="3116" w:type="dxa"/>
            <w:vAlign w:val="center"/>
          </w:tcPr>
          <w:p>
            <w:pPr>
              <w:spacing w:line="360" w:lineRule="auto"/>
              <w:ind w:firstLine="442"/>
              <w:jc w:val="center"/>
              <w:rPr>
                <w:rFonts w:ascii="黑体" w:hAnsi="黑体" w:eastAsia="黑体"/>
                <w:b/>
                <w:bCs/>
                <w:sz w:val="22"/>
                <w:szCs w:val="21"/>
              </w:rPr>
            </w:pPr>
            <w:r>
              <w:rPr>
                <w:rFonts w:hint="eastAsia" w:ascii="黑体" w:hAnsi="黑体" w:eastAsia="黑体"/>
                <w:b/>
                <w:bCs/>
                <w:sz w:val="22"/>
                <w:szCs w:val="21"/>
              </w:rPr>
              <w:t>级别</w:t>
            </w:r>
          </w:p>
        </w:tc>
        <w:tc>
          <w:tcPr>
            <w:tcW w:w="1372" w:type="dxa"/>
            <w:vAlign w:val="center"/>
          </w:tcPr>
          <w:p>
            <w:pPr>
              <w:spacing w:line="360" w:lineRule="auto"/>
              <w:rPr>
                <w:rFonts w:ascii="黑体" w:hAnsi="黑体" w:eastAsia="黑体"/>
                <w:b/>
                <w:bCs/>
                <w:sz w:val="22"/>
                <w:szCs w:val="21"/>
              </w:rPr>
            </w:pPr>
            <w:r>
              <w:rPr>
                <w:rFonts w:ascii="黑体" w:hAnsi="黑体" w:eastAsia="黑体"/>
                <w:b/>
                <w:bCs/>
                <w:sz w:val="22"/>
                <w:szCs w:val="21"/>
              </w:rPr>
              <w:t>获批时间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5" w:type="dxa"/>
            <w:vAlign w:val="center"/>
          </w:tcPr>
          <w:p>
            <w:pPr>
              <w:spacing w:line="360" w:lineRule="auto"/>
              <w:jc w:val="center"/>
              <w:rPr>
                <w:rFonts w:eastAsia="仿宋"/>
                <w:szCs w:val="21"/>
              </w:rPr>
            </w:pPr>
            <w:r>
              <w:rPr>
                <w:rFonts w:hint="eastAsia" w:eastAsia="仿宋"/>
                <w:szCs w:val="21"/>
              </w:rPr>
              <w:t>计算机与控制工程天津市示范实验教学中心</w:t>
            </w:r>
          </w:p>
        </w:tc>
        <w:tc>
          <w:tcPr>
            <w:tcW w:w="3116" w:type="dxa"/>
            <w:vAlign w:val="center"/>
          </w:tcPr>
          <w:p>
            <w:pPr>
              <w:spacing w:line="360" w:lineRule="auto"/>
              <w:jc w:val="center"/>
              <w:rPr>
                <w:rFonts w:eastAsia="仿宋"/>
                <w:szCs w:val="21"/>
              </w:rPr>
            </w:pPr>
            <w:r>
              <w:rPr>
                <w:rFonts w:hint="eastAsia" w:eastAsia="仿宋"/>
                <w:szCs w:val="21"/>
              </w:rPr>
              <w:t>天津市示范实验教学中心</w:t>
            </w:r>
          </w:p>
        </w:tc>
        <w:tc>
          <w:tcPr>
            <w:tcW w:w="1372" w:type="dxa"/>
            <w:vAlign w:val="center"/>
          </w:tcPr>
          <w:p>
            <w:pPr>
              <w:spacing w:line="360" w:lineRule="auto"/>
              <w:jc w:val="center"/>
              <w:rPr>
                <w:rFonts w:ascii="黑体" w:hAnsi="黑体" w:eastAsia="黑体"/>
                <w:b/>
                <w:bCs/>
                <w:szCs w:val="21"/>
              </w:rPr>
            </w:pPr>
            <w:r>
              <w:rPr>
                <w:rFonts w:hint="eastAsia" w:ascii="黑体" w:hAnsi="黑体" w:eastAsia="黑体"/>
                <w:b/>
                <w:bCs/>
                <w:szCs w:val="21"/>
              </w:rPr>
              <w:t>2</w:t>
            </w:r>
            <w:r>
              <w:rPr>
                <w:rFonts w:ascii="黑体" w:hAnsi="黑体" w:eastAsia="黑体"/>
                <w:b/>
                <w:bCs/>
                <w:szCs w:val="21"/>
              </w:rPr>
              <w:t>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5" w:type="dxa"/>
            <w:vAlign w:val="center"/>
          </w:tcPr>
          <w:p>
            <w:pPr>
              <w:spacing w:line="360" w:lineRule="auto"/>
              <w:jc w:val="center"/>
              <w:rPr>
                <w:rFonts w:eastAsia="仿宋"/>
                <w:szCs w:val="21"/>
              </w:rPr>
            </w:pPr>
            <w:r>
              <w:rPr>
                <w:rFonts w:hint="eastAsia" w:eastAsia="仿宋"/>
                <w:szCs w:val="21"/>
              </w:rPr>
              <w:t>面向校园网虚实结合的整站攻击实验</w:t>
            </w:r>
          </w:p>
        </w:tc>
        <w:tc>
          <w:tcPr>
            <w:tcW w:w="3116" w:type="dxa"/>
            <w:vAlign w:val="center"/>
          </w:tcPr>
          <w:p>
            <w:pPr>
              <w:spacing w:line="360" w:lineRule="auto"/>
              <w:jc w:val="center"/>
              <w:rPr>
                <w:rFonts w:eastAsia="仿宋"/>
                <w:szCs w:val="21"/>
              </w:rPr>
            </w:pPr>
            <w:r>
              <w:rPr>
                <w:rFonts w:hint="eastAsia" w:eastAsia="仿宋"/>
                <w:szCs w:val="21"/>
              </w:rPr>
              <w:t>天津市虚拟仿真教学建设项目</w:t>
            </w:r>
          </w:p>
        </w:tc>
        <w:tc>
          <w:tcPr>
            <w:tcW w:w="1372" w:type="dxa"/>
            <w:vAlign w:val="center"/>
          </w:tcPr>
          <w:p>
            <w:pPr>
              <w:spacing w:line="360" w:lineRule="auto"/>
              <w:jc w:val="center"/>
              <w:rPr>
                <w:rFonts w:ascii="黑体" w:hAnsi="黑体" w:eastAsia="黑体"/>
                <w:b/>
                <w:bCs/>
                <w:szCs w:val="21"/>
              </w:rPr>
            </w:pPr>
            <w:r>
              <w:rPr>
                <w:rFonts w:hint="eastAsia" w:ascii="黑体" w:hAnsi="黑体" w:eastAsia="黑体"/>
                <w:b/>
                <w:bCs/>
                <w:szCs w:val="21"/>
              </w:rPr>
              <w:t>2</w:t>
            </w:r>
            <w:r>
              <w:rPr>
                <w:rFonts w:ascii="黑体" w:hAnsi="黑体" w:eastAsia="黑体"/>
                <w:b/>
                <w:bCs/>
                <w:szCs w:val="21"/>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5" w:type="dxa"/>
            <w:vAlign w:val="center"/>
          </w:tcPr>
          <w:p>
            <w:pPr>
              <w:spacing w:line="360" w:lineRule="auto"/>
              <w:jc w:val="center"/>
              <w:rPr>
                <w:rFonts w:eastAsia="仿宋"/>
                <w:szCs w:val="21"/>
              </w:rPr>
            </w:pPr>
            <w:r>
              <w:rPr>
                <w:rFonts w:hint="eastAsia" w:eastAsia="仿宋"/>
                <w:szCs w:val="21"/>
              </w:rPr>
              <w:t>网络空间安全实践基地建设</w:t>
            </w:r>
          </w:p>
        </w:tc>
        <w:tc>
          <w:tcPr>
            <w:tcW w:w="3116" w:type="dxa"/>
            <w:vAlign w:val="center"/>
          </w:tcPr>
          <w:p>
            <w:pPr>
              <w:spacing w:line="360" w:lineRule="auto"/>
              <w:jc w:val="center"/>
              <w:rPr>
                <w:rFonts w:eastAsia="仿宋"/>
                <w:szCs w:val="21"/>
              </w:rPr>
            </w:pPr>
            <w:r>
              <w:rPr>
                <w:rFonts w:hint="eastAsia" w:eastAsia="仿宋"/>
                <w:szCs w:val="21"/>
              </w:rPr>
              <w:t>教育部产学合作协同育人项目</w:t>
            </w:r>
          </w:p>
        </w:tc>
        <w:tc>
          <w:tcPr>
            <w:tcW w:w="1372" w:type="dxa"/>
            <w:vAlign w:val="center"/>
          </w:tcPr>
          <w:p>
            <w:pPr>
              <w:spacing w:line="360" w:lineRule="auto"/>
              <w:jc w:val="center"/>
              <w:rPr>
                <w:rFonts w:ascii="黑体" w:hAnsi="黑体" w:eastAsia="黑体"/>
                <w:b/>
                <w:bCs/>
                <w:szCs w:val="21"/>
              </w:rPr>
            </w:pPr>
            <w:r>
              <w:rPr>
                <w:rFonts w:hint="eastAsia" w:ascii="黑体" w:hAnsi="黑体" w:eastAsia="黑体"/>
                <w:b/>
                <w:bCs/>
                <w:szCs w:val="21"/>
              </w:rPr>
              <w:t>2</w:t>
            </w:r>
            <w:r>
              <w:rPr>
                <w:rFonts w:ascii="黑体" w:hAnsi="黑体" w:eastAsia="黑体"/>
                <w:b/>
                <w:bCs/>
                <w:szCs w:val="21"/>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305" w:type="dxa"/>
            <w:vAlign w:val="center"/>
          </w:tcPr>
          <w:p>
            <w:pPr>
              <w:spacing w:line="360" w:lineRule="auto"/>
              <w:jc w:val="center"/>
              <w:rPr>
                <w:rFonts w:eastAsia="仿宋"/>
                <w:szCs w:val="21"/>
              </w:rPr>
            </w:pPr>
            <w:r>
              <w:rPr>
                <w:rFonts w:hint="eastAsia" w:eastAsia="仿宋"/>
                <w:szCs w:val="21"/>
              </w:rPr>
              <w:t>基于NI仪器设备的虚拟仿真实验教学研究</w:t>
            </w:r>
          </w:p>
        </w:tc>
        <w:tc>
          <w:tcPr>
            <w:tcW w:w="3116" w:type="dxa"/>
            <w:vAlign w:val="center"/>
          </w:tcPr>
          <w:p>
            <w:pPr>
              <w:spacing w:line="360" w:lineRule="auto"/>
              <w:jc w:val="center"/>
              <w:rPr>
                <w:rFonts w:eastAsia="仿宋"/>
                <w:szCs w:val="21"/>
              </w:rPr>
            </w:pPr>
            <w:r>
              <w:rPr>
                <w:rFonts w:eastAsia="仿宋"/>
                <w:szCs w:val="21"/>
              </w:rPr>
              <w:t>省部级</w:t>
            </w:r>
          </w:p>
        </w:tc>
        <w:tc>
          <w:tcPr>
            <w:tcW w:w="1372" w:type="dxa"/>
            <w:vAlign w:val="center"/>
          </w:tcPr>
          <w:p>
            <w:pPr>
              <w:spacing w:line="360" w:lineRule="auto"/>
              <w:jc w:val="center"/>
              <w:rPr>
                <w:rFonts w:ascii="黑体" w:hAnsi="黑体" w:eastAsia="黑体"/>
                <w:b/>
                <w:bCs/>
                <w:szCs w:val="21"/>
              </w:rPr>
            </w:pPr>
            <w:r>
              <w:rPr>
                <w:rFonts w:hint="eastAsia" w:ascii="黑体" w:hAnsi="黑体" w:eastAsia="黑体"/>
                <w:b/>
                <w:bCs/>
                <w:szCs w:val="21"/>
              </w:rPr>
              <w:t>2</w:t>
            </w:r>
            <w:r>
              <w:rPr>
                <w:rFonts w:ascii="黑体" w:hAnsi="黑体" w:eastAsia="黑体"/>
                <w:b/>
                <w:bCs/>
                <w:szCs w:val="21"/>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3305" w:type="dxa"/>
            <w:vAlign w:val="center"/>
          </w:tcPr>
          <w:p>
            <w:pPr>
              <w:spacing w:line="360" w:lineRule="auto"/>
              <w:jc w:val="center"/>
              <w:rPr>
                <w:rFonts w:eastAsia="仿宋"/>
                <w:szCs w:val="21"/>
              </w:rPr>
            </w:pPr>
            <w:r>
              <w:rPr>
                <w:rFonts w:hint="eastAsia" w:eastAsia="仿宋"/>
                <w:szCs w:val="21"/>
              </w:rPr>
              <w:t>管理学综合实验教学示范中心</w:t>
            </w:r>
          </w:p>
        </w:tc>
        <w:tc>
          <w:tcPr>
            <w:tcW w:w="3116" w:type="dxa"/>
            <w:vAlign w:val="center"/>
          </w:tcPr>
          <w:p>
            <w:pPr>
              <w:spacing w:line="360" w:lineRule="auto"/>
              <w:jc w:val="center"/>
              <w:rPr>
                <w:rFonts w:eastAsia="仿宋"/>
                <w:szCs w:val="21"/>
              </w:rPr>
            </w:pPr>
            <w:r>
              <w:rPr>
                <w:rFonts w:eastAsia="仿宋"/>
                <w:szCs w:val="21"/>
              </w:rPr>
              <w:t>省部级</w:t>
            </w:r>
          </w:p>
        </w:tc>
        <w:tc>
          <w:tcPr>
            <w:tcW w:w="1372" w:type="dxa"/>
            <w:vAlign w:val="center"/>
          </w:tcPr>
          <w:p>
            <w:pPr>
              <w:spacing w:line="360" w:lineRule="auto"/>
              <w:jc w:val="center"/>
              <w:rPr>
                <w:rFonts w:ascii="黑体" w:hAnsi="黑体" w:eastAsia="黑体"/>
                <w:b/>
                <w:bCs/>
                <w:szCs w:val="21"/>
              </w:rPr>
            </w:pPr>
            <w:r>
              <w:rPr>
                <w:rFonts w:hint="eastAsia" w:ascii="黑体" w:hAnsi="黑体" w:eastAsia="黑体"/>
                <w:b/>
                <w:bCs/>
                <w:szCs w:val="21"/>
              </w:rPr>
              <w:t>2</w:t>
            </w:r>
            <w:r>
              <w:rPr>
                <w:rFonts w:ascii="黑体" w:hAnsi="黑体" w:eastAsia="黑体"/>
                <w:b/>
                <w:bCs/>
                <w:szCs w:val="21"/>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3305" w:type="dxa"/>
            <w:vAlign w:val="center"/>
          </w:tcPr>
          <w:p>
            <w:pPr>
              <w:spacing w:line="360" w:lineRule="auto"/>
              <w:jc w:val="center"/>
              <w:rPr>
                <w:rFonts w:eastAsia="仿宋"/>
                <w:szCs w:val="21"/>
              </w:rPr>
            </w:pPr>
            <w:r>
              <w:rPr>
                <w:rFonts w:hint="eastAsia" w:eastAsia="仿宋"/>
                <w:szCs w:val="21"/>
              </w:rPr>
              <w:t>创业与中小企业管理研究中心</w:t>
            </w:r>
          </w:p>
        </w:tc>
        <w:tc>
          <w:tcPr>
            <w:tcW w:w="3116" w:type="dxa"/>
            <w:vAlign w:val="center"/>
          </w:tcPr>
          <w:p>
            <w:pPr>
              <w:spacing w:line="360" w:lineRule="auto"/>
              <w:jc w:val="center"/>
              <w:rPr>
                <w:rFonts w:eastAsia="仿宋"/>
                <w:szCs w:val="21"/>
              </w:rPr>
            </w:pPr>
            <w:r>
              <w:rPr>
                <w:rFonts w:eastAsia="仿宋"/>
                <w:szCs w:val="21"/>
              </w:rPr>
              <w:t>天津市优秀基地</w:t>
            </w:r>
          </w:p>
        </w:tc>
        <w:tc>
          <w:tcPr>
            <w:tcW w:w="1372" w:type="dxa"/>
            <w:vAlign w:val="center"/>
          </w:tcPr>
          <w:p>
            <w:pPr>
              <w:spacing w:line="360" w:lineRule="auto"/>
              <w:jc w:val="center"/>
              <w:rPr>
                <w:rFonts w:ascii="黑体" w:hAnsi="黑体" w:eastAsia="黑体"/>
                <w:b/>
                <w:bCs/>
                <w:szCs w:val="21"/>
              </w:rPr>
            </w:pPr>
            <w:r>
              <w:rPr>
                <w:rFonts w:ascii="黑体" w:hAnsi="黑体" w:eastAsia="黑体"/>
                <w:b/>
                <w:bCs/>
                <w:szCs w:val="21"/>
              </w:rPr>
              <w:t>2017</w:t>
            </w:r>
          </w:p>
        </w:tc>
      </w:tr>
    </w:tbl>
    <w:p>
      <w:pPr>
        <w:snapToGrid w:val="0"/>
        <w:spacing w:line="360" w:lineRule="auto"/>
        <w:rPr>
          <w:rFonts w:ascii="仿宋" w:hAnsi="仿宋" w:eastAsia="仿宋"/>
          <w:bCs/>
          <w:sz w:val="28"/>
          <w:szCs w:val="28"/>
        </w:rPr>
      </w:pPr>
    </w:p>
    <w:p>
      <w:pPr>
        <w:snapToGrid w:val="0"/>
        <w:spacing w:line="360" w:lineRule="auto"/>
        <w:rPr>
          <w:rFonts w:ascii="仿宋" w:hAnsi="仿宋" w:eastAsia="仿宋"/>
          <w:bCs/>
          <w:sz w:val="28"/>
          <w:szCs w:val="28"/>
        </w:rPr>
      </w:pPr>
    </w:p>
    <w:p>
      <w:pPr>
        <w:snapToGrid w:val="0"/>
        <w:spacing w:line="360" w:lineRule="auto"/>
        <w:ind w:firstLine="420" w:firstLineChars="150"/>
        <w:rPr>
          <w:rFonts w:eastAsia="仿宋"/>
          <w:sz w:val="28"/>
          <w:szCs w:val="28"/>
        </w:rPr>
      </w:pPr>
      <w:r>
        <w:rPr>
          <w:rFonts w:hint="eastAsia" w:ascii="仿宋" w:hAnsi="仿宋" w:eastAsia="仿宋"/>
          <w:bCs/>
          <w:sz w:val="28"/>
          <w:szCs w:val="28"/>
        </w:rPr>
        <w:t>2.国家级省部级科研平台</w:t>
      </w:r>
      <w:r>
        <w:rPr>
          <w:rFonts w:hint="eastAsia" w:ascii="仿宋" w:hAnsi="仿宋" w:eastAsia="仿宋" w:cs="Times New Roman"/>
          <w:sz w:val="28"/>
          <w:szCs w:val="28"/>
        </w:rPr>
        <w:t>。计算机学科、网络空间安全学科</w:t>
      </w:r>
      <w:r>
        <w:rPr>
          <w:rFonts w:hint="eastAsia" w:eastAsia="仿宋"/>
          <w:sz w:val="28"/>
          <w:szCs w:val="28"/>
        </w:rPr>
        <w:t>拥有国家级和省部级科研平台，新增天津市首个安全重点实验室</w:t>
      </w:r>
      <w:r>
        <w:rPr>
          <w:rFonts w:eastAsia="仿宋"/>
          <w:sz w:val="28"/>
          <w:szCs w:val="28"/>
        </w:rPr>
        <w:t>1</w:t>
      </w:r>
      <w:r>
        <w:rPr>
          <w:rFonts w:hint="eastAsia" w:eastAsia="仿宋"/>
          <w:sz w:val="28"/>
          <w:szCs w:val="28"/>
        </w:rPr>
        <w:t>个、天津市国际联合研究中心</w:t>
      </w:r>
      <w:r>
        <w:rPr>
          <w:rFonts w:eastAsia="仿宋"/>
          <w:sz w:val="28"/>
          <w:szCs w:val="28"/>
        </w:rPr>
        <w:t>1</w:t>
      </w:r>
      <w:r>
        <w:rPr>
          <w:rFonts w:hint="eastAsia" w:eastAsia="仿宋"/>
          <w:sz w:val="28"/>
          <w:szCs w:val="28"/>
        </w:rPr>
        <w:t>个。</w:t>
      </w:r>
    </w:p>
    <w:tbl>
      <w:tblPr>
        <w:tblStyle w:val="9"/>
        <w:tblW w:w="7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0"/>
        <w:gridCol w:w="2373"/>
        <w:gridCol w:w="1263"/>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6" w:type="dxa"/>
            <w:gridSpan w:val="4"/>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国家级科研平台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名称</w:t>
            </w:r>
          </w:p>
        </w:tc>
        <w:tc>
          <w:tcPr>
            <w:tcW w:w="2373" w:type="dxa"/>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级别</w:t>
            </w:r>
          </w:p>
        </w:tc>
        <w:tc>
          <w:tcPr>
            <w:tcW w:w="1263" w:type="dxa"/>
            <w:vAlign w:val="center"/>
          </w:tcPr>
          <w:p>
            <w:pPr>
              <w:spacing w:line="360" w:lineRule="auto"/>
              <w:rPr>
                <w:rFonts w:ascii="Times New Roman" w:hAnsi="Times New Roman"/>
                <w:b/>
                <w:bCs/>
                <w:sz w:val="24"/>
                <w:szCs w:val="21"/>
              </w:rPr>
            </w:pPr>
            <w:r>
              <w:rPr>
                <w:rFonts w:hint="eastAsia" w:ascii="Times New Roman" w:hAnsi="Times New Roman"/>
                <w:b/>
                <w:bCs/>
                <w:sz w:val="24"/>
                <w:szCs w:val="21"/>
              </w:rPr>
              <w:t>获批时间</w:t>
            </w:r>
          </w:p>
        </w:tc>
        <w:tc>
          <w:tcPr>
            <w:tcW w:w="1560" w:type="dxa"/>
            <w:vAlign w:val="center"/>
          </w:tcPr>
          <w:p>
            <w:pPr>
              <w:spacing w:line="360" w:lineRule="auto"/>
              <w:rPr>
                <w:rFonts w:ascii="Times New Roman" w:hAnsi="Times New Roman"/>
                <w:b/>
                <w:bCs/>
                <w:sz w:val="24"/>
                <w:szCs w:val="21"/>
              </w:rPr>
            </w:pPr>
            <w:r>
              <w:rPr>
                <w:rFonts w:hint="eastAsia" w:ascii="Times New Roman" w:hAnsi="Times New Roman"/>
                <w:b/>
                <w:bCs/>
                <w:sz w:val="24"/>
                <w:szCs w:val="21"/>
              </w:rPr>
              <w:t>所属学院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计算机病毒防治技术国家工程实验室</w:t>
            </w:r>
          </w:p>
        </w:tc>
        <w:tc>
          <w:tcPr>
            <w:tcW w:w="2373" w:type="dxa"/>
            <w:vAlign w:val="center"/>
          </w:tcPr>
          <w:p>
            <w:pPr>
              <w:adjustRightInd w:val="0"/>
              <w:snapToGrid w:val="0"/>
              <w:spacing w:line="360" w:lineRule="auto"/>
              <w:rPr>
                <w:rFonts w:eastAsia="仿宋"/>
                <w:szCs w:val="21"/>
              </w:rPr>
            </w:pPr>
            <w:r>
              <w:rPr>
                <w:rFonts w:hint="eastAsia" w:eastAsia="仿宋"/>
                <w:szCs w:val="21"/>
              </w:rPr>
              <w:t>国家级工程实验室</w:t>
            </w:r>
          </w:p>
        </w:tc>
        <w:tc>
          <w:tcPr>
            <w:tcW w:w="1263" w:type="dxa"/>
            <w:vAlign w:val="center"/>
          </w:tcPr>
          <w:p>
            <w:pPr>
              <w:adjustRightInd w:val="0"/>
              <w:snapToGrid w:val="0"/>
              <w:spacing w:line="360" w:lineRule="auto"/>
              <w:ind w:firstLine="210" w:firstLineChars="100"/>
              <w:rPr>
                <w:rFonts w:eastAsia="仿宋"/>
                <w:szCs w:val="21"/>
              </w:rPr>
            </w:pPr>
            <w:r>
              <w:rPr>
                <w:rFonts w:eastAsia="仿宋"/>
                <w:szCs w:val="21"/>
              </w:rPr>
              <w:t>2014</w:t>
            </w:r>
          </w:p>
        </w:tc>
        <w:tc>
          <w:tcPr>
            <w:tcW w:w="1560" w:type="dxa"/>
            <w:vAlign w:val="center"/>
          </w:tcPr>
          <w:p>
            <w:pPr>
              <w:adjustRightInd w:val="0"/>
              <w:snapToGrid w:val="0"/>
              <w:spacing w:line="360" w:lineRule="auto"/>
              <w:rPr>
                <w:rFonts w:eastAsia="仿宋"/>
                <w:szCs w:val="21"/>
              </w:rPr>
            </w:pPr>
            <w:r>
              <w:rPr>
                <w:rFonts w:hint="eastAsia" w:eastAsia="仿宋"/>
                <w:szCs w:val="21"/>
              </w:rPr>
              <w:t>网络空间安全学院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6" w:type="dxa"/>
            <w:gridSpan w:val="4"/>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省部级科研平台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名称</w:t>
            </w:r>
          </w:p>
        </w:tc>
        <w:tc>
          <w:tcPr>
            <w:tcW w:w="2373" w:type="dxa"/>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级别</w:t>
            </w:r>
          </w:p>
        </w:tc>
        <w:tc>
          <w:tcPr>
            <w:tcW w:w="1263" w:type="dxa"/>
            <w:vAlign w:val="center"/>
          </w:tcPr>
          <w:p>
            <w:pPr>
              <w:spacing w:line="360" w:lineRule="auto"/>
              <w:rPr>
                <w:rFonts w:ascii="Times New Roman" w:hAnsi="Times New Roman"/>
                <w:b/>
                <w:bCs/>
                <w:sz w:val="24"/>
                <w:szCs w:val="21"/>
              </w:rPr>
            </w:pPr>
            <w:r>
              <w:rPr>
                <w:rFonts w:hint="eastAsia" w:ascii="Times New Roman" w:hAnsi="Times New Roman"/>
                <w:b/>
                <w:bCs/>
                <w:sz w:val="24"/>
                <w:szCs w:val="21"/>
              </w:rPr>
              <w:t>获批时间</w:t>
            </w:r>
          </w:p>
        </w:tc>
        <w:tc>
          <w:tcPr>
            <w:tcW w:w="1560" w:type="dxa"/>
            <w:vAlign w:val="center"/>
          </w:tcPr>
          <w:p>
            <w:pPr>
              <w:spacing w:line="360" w:lineRule="auto"/>
              <w:rPr>
                <w:rFonts w:ascii="Times New Roman" w:hAnsi="Times New Roman"/>
                <w:b/>
                <w:bCs/>
                <w:sz w:val="24"/>
                <w:szCs w:val="21"/>
              </w:rPr>
            </w:pPr>
            <w:r>
              <w:rPr>
                <w:rFonts w:hint="eastAsia" w:ascii="Times New Roman" w:hAnsi="Times New Roman"/>
                <w:b/>
                <w:bCs/>
                <w:sz w:val="24"/>
                <w:szCs w:val="21"/>
              </w:rPr>
              <w:t>所属</w:t>
            </w:r>
            <w:r>
              <w:rPr>
                <w:rFonts w:ascii="Times New Roman" w:hAnsi="Times New Roman"/>
                <w:b/>
                <w:bCs/>
                <w:sz w:val="24"/>
                <w:szCs w:val="21"/>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天津市网络与数据安全技术重点实验室</w:t>
            </w:r>
          </w:p>
        </w:tc>
        <w:tc>
          <w:tcPr>
            <w:tcW w:w="2373" w:type="dxa"/>
            <w:vAlign w:val="center"/>
          </w:tcPr>
          <w:p>
            <w:pPr>
              <w:spacing w:line="360" w:lineRule="auto"/>
              <w:jc w:val="center"/>
              <w:rPr>
                <w:rFonts w:eastAsia="仿宋"/>
                <w:szCs w:val="21"/>
              </w:rPr>
            </w:pPr>
            <w:r>
              <w:rPr>
                <w:rFonts w:hint="eastAsia" w:eastAsia="仿宋"/>
                <w:szCs w:val="21"/>
              </w:rPr>
              <w:t>天津市重点实验室</w:t>
            </w:r>
          </w:p>
          <w:p>
            <w:pPr>
              <w:spacing w:line="360" w:lineRule="auto"/>
              <w:jc w:val="center"/>
              <w:rPr>
                <w:rFonts w:eastAsia="仿宋"/>
                <w:szCs w:val="21"/>
              </w:rPr>
            </w:pPr>
            <w:r>
              <w:rPr>
                <w:rFonts w:hint="eastAsia" w:eastAsia="仿宋"/>
                <w:szCs w:val="21"/>
              </w:rPr>
              <w:t>（天津市唯一安全类重点实验室）</w:t>
            </w:r>
          </w:p>
        </w:tc>
        <w:tc>
          <w:tcPr>
            <w:tcW w:w="1263" w:type="dxa"/>
            <w:vAlign w:val="center"/>
          </w:tcPr>
          <w:p>
            <w:pPr>
              <w:spacing w:line="360" w:lineRule="auto"/>
              <w:jc w:val="center"/>
              <w:rPr>
                <w:rFonts w:eastAsia="仿宋"/>
                <w:szCs w:val="21"/>
              </w:rPr>
            </w:pPr>
            <w:r>
              <w:rPr>
                <w:rFonts w:eastAsia="仿宋"/>
                <w:szCs w:val="21"/>
              </w:rPr>
              <w:t>2018</w:t>
            </w:r>
          </w:p>
        </w:tc>
        <w:tc>
          <w:tcPr>
            <w:tcW w:w="1560" w:type="dxa"/>
            <w:vAlign w:val="center"/>
          </w:tcPr>
          <w:p>
            <w:pPr>
              <w:spacing w:line="360" w:lineRule="auto"/>
              <w:jc w:val="center"/>
              <w:rPr>
                <w:rFonts w:eastAsia="仿宋"/>
                <w:szCs w:val="21"/>
              </w:rPr>
            </w:pPr>
            <w:r>
              <w:rPr>
                <w:rFonts w:hint="eastAsia" w:eastAsia="仿宋"/>
                <w:szCs w:val="21"/>
              </w:rPr>
              <w:t>网络空间安全学院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高可信信息系统重点实验室</w:t>
            </w:r>
          </w:p>
        </w:tc>
        <w:tc>
          <w:tcPr>
            <w:tcW w:w="2373" w:type="dxa"/>
            <w:vAlign w:val="center"/>
          </w:tcPr>
          <w:p>
            <w:pPr>
              <w:spacing w:line="360" w:lineRule="auto"/>
              <w:jc w:val="center"/>
              <w:rPr>
                <w:rFonts w:eastAsia="仿宋"/>
                <w:szCs w:val="21"/>
              </w:rPr>
            </w:pPr>
            <w:r>
              <w:rPr>
                <w:rFonts w:hint="eastAsia" w:eastAsia="仿宋"/>
                <w:szCs w:val="21"/>
              </w:rPr>
              <w:t>河北省重点实验室</w:t>
            </w:r>
            <w:r>
              <w:rPr>
                <w:rFonts w:eastAsia="仿宋"/>
                <w:szCs w:val="21"/>
              </w:rPr>
              <w:t>(</w:t>
            </w:r>
            <w:r>
              <w:rPr>
                <w:rFonts w:hint="eastAsia" w:eastAsia="仿宋"/>
                <w:szCs w:val="21"/>
              </w:rPr>
              <w:t>共建单位</w:t>
            </w:r>
            <w:r>
              <w:rPr>
                <w:rFonts w:eastAsia="仿宋"/>
                <w:szCs w:val="21"/>
              </w:rPr>
              <w:t>)</w:t>
            </w:r>
          </w:p>
        </w:tc>
        <w:tc>
          <w:tcPr>
            <w:tcW w:w="1263" w:type="dxa"/>
            <w:vAlign w:val="center"/>
          </w:tcPr>
          <w:p>
            <w:pPr>
              <w:spacing w:line="360" w:lineRule="auto"/>
              <w:jc w:val="center"/>
              <w:rPr>
                <w:rFonts w:eastAsia="仿宋"/>
                <w:szCs w:val="21"/>
              </w:rPr>
            </w:pPr>
            <w:r>
              <w:rPr>
                <w:rFonts w:eastAsia="仿宋"/>
                <w:szCs w:val="21"/>
              </w:rPr>
              <w:t>2017</w:t>
            </w:r>
          </w:p>
        </w:tc>
        <w:tc>
          <w:tcPr>
            <w:tcW w:w="1560" w:type="dxa"/>
            <w:vAlign w:val="center"/>
          </w:tcPr>
          <w:p>
            <w:pPr>
              <w:spacing w:line="360" w:lineRule="auto"/>
              <w:jc w:val="center"/>
              <w:rPr>
                <w:rFonts w:eastAsia="仿宋"/>
                <w:szCs w:val="21"/>
              </w:rPr>
            </w:pPr>
            <w:r>
              <w:rPr>
                <w:rFonts w:hint="eastAsia" w:eastAsia="仿宋"/>
                <w:szCs w:val="21"/>
              </w:rPr>
              <w:t>网络空间安全学院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媒体计算国际联合研究中心</w:t>
            </w:r>
          </w:p>
        </w:tc>
        <w:tc>
          <w:tcPr>
            <w:tcW w:w="2373" w:type="dxa"/>
            <w:vAlign w:val="center"/>
          </w:tcPr>
          <w:p>
            <w:pPr>
              <w:spacing w:line="360" w:lineRule="auto"/>
              <w:jc w:val="center"/>
              <w:rPr>
                <w:rFonts w:eastAsia="仿宋"/>
                <w:szCs w:val="21"/>
              </w:rPr>
            </w:pPr>
            <w:r>
              <w:rPr>
                <w:rFonts w:hint="eastAsia" w:eastAsia="仿宋"/>
                <w:szCs w:val="21"/>
              </w:rPr>
              <w:t>天津市国际联合研究中心</w:t>
            </w:r>
          </w:p>
        </w:tc>
        <w:tc>
          <w:tcPr>
            <w:tcW w:w="1263" w:type="dxa"/>
            <w:vAlign w:val="center"/>
          </w:tcPr>
          <w:p>
            <w:pPr>
              <w:spacing w:line="360" w:lineRule="auto"/>
              <w:jc w:val="center"/>
              <w:rPr>
                <w:rFonts w:eastAsia="仿宋"/>
                <w:szCs w:val="21"/>
              </w:rPr>
            </w:pPr>
            <w:r>
              <w:rPr>
                <w:rFonts w:eastAsia="仿宋"/>
                <w:szCs w:val="21"/>
              </w:rPr>
              <w:t>2018</w:t>
            </w:r>
          </w:p>
        </w:tc>
        <w:tc>
          <w:tcPr>
            <w:tcW w:w="1560" w:type="dxa"/>
            <w:vAlign w:val="center"/>
          </w:tcPr>
          <w:p>
            <w:pPr>
              <w:spacing w:line="360" w:lineRule="auto"/>
              <w:jc w:val="center"/>
              <w:rPr>
                <w:rFonts w:eastAsia="仿宋"/>
                <w:szCs w:val="21"/>
              </w:rPr>
            </w:pPr>
            <w:r>
              <w:rPr>
                <w:rFonts w:hint="eastAsia" w:eastAsia="仿宋"/>
                <w:szCs w:val="21"/>
              </w:rPr>
              <w:t>计算机学院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网络文化研究基地</w:t>
            </w:r>
          </w:p>
        </w:tc>
        <w:tc>
          <w:tcPr>
            <w:tcW w:w="2373" w:type="dxa"/>
            <w:vAlign w:val="center"/>
          </w:tcPr>
          <w:p>
            <w:pPr>
              <w:spacing w:line="360" w:lineRule="auto"/>
              <w:jc w:val="center"/>
              <w:rPr>
                <w:rFonts w:eastAsia="仿宋"/>
                <w:szCs w:val="21"/>
              </w:rPr>
            </w:pPr>
            <w:r>
              <w:rPr>
                <w:rFonts w:hint="eastAsia" w:eastAsia="仿宋"/>
                <w:szCs w:val="21"/>
              </w:rPr>
              <w:t>中央网信办共建基地</w:t>
            </w:r>
          </w:p>
        </w:tc>
        <w:tc>
          <w:tcPr>
            <w:tcW w:w="1263" w:type="dxa"/>
            <w:vAlign w:val="center"/>
          </w:tcPr>
          <w:p>
            <w:pPr>
              <w:spacing w:line="360" w:lineRule="auto"/>
              <w:jc w:val="center"/>
              <w:rPr>
                <w:rFonts w:eastAsia="仿宋"/>
                <w:szCs w:val="21"/>
              </w:rPr>
            </w:pPr>
            <w:r>
              <w:rPr>
                <w:rFonts w:eastAsia="仿宋"/>
                <w:szCs w:val="21"/>
              </w:rPr>
              <w:t>2018</w:t>
            </w:r>
          </w:p>
        </w:tc>
        <w:tc>
          <w:tcPr>
            <w:tcW w:w="1560" w:type="dxa"/>
            <w:vAlign w:val="center"/>
          </w:tcPr>
          <w:p>
            <w:pPr>
              <w:spacing w:line="360" w:lineRule="auto"/>
              <w:jc w:val="center"/>
              <w:rPr>
                <w:rFonts w:eastAsia="仿宋"/>
                <w:szCs w:val="21"/>
              </w:rPr>
            </w:pPr>
            <w:r>
              <w:rPr>
                <w:rFonts w:hint="eastAsia" w:eastAsia="仿宋"/>
                <w:szCs w:val="21"/>
              </w:rPr>
              <w:t>网络空间安全学院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数据与网络安全联合研发中心</w:t>
            </w:r>
          </w:p>
        </w:tc>
        <w:tc>
          <w:tcPr>
            <w:tcW w:w="2373" w:type="dxa"/>
            <w:vAlign w:val="center"/>
          </w:tcPr>
          <w:p>
            <w:pPr>
              <w:spacing w:line="360" w:lineRule="auto"/>
              <w:jc w:val="center"/>
              <w:rPr>
                <w:rFonts w:eastAsia="仿宋"/>
                <w:szCs w:val="21"/>
              </w:rPr>
            </w:pPr>
            <w:r>
              <w:rPr>
                <w:rFonts w:hint="eastAsia" w:eastAsia="仿宋"/>
                <w:szCs w:val="21"/>
              </w:rPr>
              <w:t>天津市委网信办共建基地</w:t>
            </w:r>
          </w:p>
        </w:tc>
        <w:tc>
          <w:tcPr>
            <w:tcW w:w="1263" w:type="dxa"/>
            <w:vAlign w:val="center"/>
          </w:tcPr>
          <w:p>
            <w:pPr>
              <w:spacing w:line="360" w:lineRule="auto"/>
              <w:jc w:val="center"/>
              <w:rPr>
                <w:rFonts w:eastAsia="仿宋"/>
                <w:szCs w:val="21"/>
              </w:rPr>
            </w:pPr>
            <w:r>
              <w:rPr>
                <w:rFonts w:eastAsia="仿宋"/>
                <w:szCs w:val="21"/>
              </w:rPr>
              <w:t>2017</w:t>
            </w:r>
          </w:p>
        </w:tc>
        <w:tc>
          <w:tcPr>
            <w:tcW w:w="1560" w:type="dxa"/>
            <w:vAlign w:val="center"/>
          </w:tcPr>
          <w:p>
            <w:pPr>
              <w:spacing w:line="360" w:lineRule="auto"/>
              <w:jc w:val="center"/>
              <w:rPr>
                <w:rFonts w:eastAsia="仿宋"/>
                <w:szCs w:val="21"/>
              </w:rPr>
            </w:pPr>
            <w:r>
              <w:rPr>
                <w:rFonts w:hint="eastAsia" w:eastAsia="仿宋"/>
                <w:szCs w:val="21"/>
              </w:rPr>
              <w:t>网络空间安全学院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6" w:type="dxa"/>
            <w:gridSpan w:val="4"/>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校企联合科研平台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ind w:firstLine="482"/>
              <w:rPr>
                <w:rFonts w:ascii="Times New Roman" w:hAnsi="Times New Roman"/>
                <w:b/>
                <w:bCs/>
                <w:sz w:val="24"/>
                <w:szCs w:val="21"/>
              </w:rPr>
            </w:pPr>
            <w:r>
              <w:rPr>
                <w:rFonts w:hint="eastAsia" w:ascii="Times New Roman" w:hAnsi="Times New Roman"/>
                <w:b/>
                <w:bCs/>
                <w:sz w:val="24"/>
                <w:szCs w:val="21"/>
              </w:rPr>
              <w:t>名称</w:t>
            </w:r>
          </w:p>
        </w:tc>
        <w:tc>
          <w:tcPr>
            <w:tcW w:w="2373" w:type="dxa"/>
            <w:vAlign w:val="center"/>
          </w:tcPr>
          <w:p>
            <w:pPr>
              <w:spacing w:line="360" w:lineRule="auto"/>
              <w:ind w:firstLine="198" w:firstLineChars="82"/>
              <w:rPr>
                <w:rFonts w:ascii="Times New Roman" w:hAnsi="Times New Roman"/>
                <w:b/>
                <w:bCs/>
                <w:sz w:val="24"/>
                <w:szCs w:val="21"/>
              </w:rPr>
            </w:pPr>
            <w:r>
              <w:rPr>
                <w:rFonts w:hint="eastAsia" w:ascii="Times New Roman" w:hAnsi="Times New Roman"/>
                <w:b/>
                <w:bCs/>
                <w:sz w:val="24"/>
                <w:szCs w:val="21"/>
              </w:rPr>
              <w:t>合作单位</w:t>
            </w:r>
          </w:p>
        </w:tc>
        <w:tc>
          <w:tcPr>
            <w:tcW w:w="1263" w:type="dxa"/>
            <w:vAlign w:val="center"/>
          </w:tcPr>
          <w:p>
            <w:pPr>
              <w:spacing w:line="360" w:lineRule="auto"/>
              <w:rPr>
                <w:rFonts w:ascii="Times New Roman" w:hAnsi="Times New Roman"/>
                <w:b/>
                <w:bCs/>
                <w:sz w:val="24"/>
                <w:szCs w:val="21"/>
              </w:rPr>
            </w:pPr>
            <w:r>
              <w:rPr>
                <w:rFonts w:hint="eastAsia" w:ascii="Times New Roman" w:hAnsi="Times New Roman"/>
                <w:b/>
                <w:bCs/>
                <w:sz w:val="24"/>
                <w:szCs w:val="21"/>
              </w:rPr>
              <w:t>建立时间</w:t>
            </w:r>
          </w:p>
        </w:tc>
        <w:tc>
          <w:tcPr>
            <w:tcW w:w="1560" w:type="dxa"/>
            <w:vAlign w:val="center"/>
          </w:tcPr>
          <w:p>
            <w:pPr>
              <w:spacing w:line="360" w:lineRule="auto"/>
              <w:rPr>
                <w:rFonts w:ascii="Times New Roman" w:hAnsi="Times New Roman"/>
                <w:b/>
                <w:bCs/>
                <w:sz w:val="24"/>
                <w:szCs w:val="21"/>
              </w:rPr>
            </w:pPr>
            <w:r>
              <w:rPr>
                <w:rFonts w:hint="eastAsia" w:ascii="Times New Roman" w:hAnsi="Times New Roman"/>
                <w:b/>
                <w:bCs/>
                <w:sz w:val="24"/>
                <w:szCs w:val="21"/>
              </w:rPr>
              <w:t>所属</w:t>
            </w:r>
            <w:r>
              <w:rPr>
                <w:rFonts w:ascii="Times New Roman" w:hAnsi="Times New Roman"/>
                <w:b/>
                <w:bCs/>
                <w:sz w:val="24"/>
                <w:szCs w:val="21"/>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百度</w:t>
            </w:r>
            <w:r>
              <w:rPr>
                <w:rFonts w:eastAsia="仿宋"/>
                <w:szCs w:val="21"/>
              </w:rPr>
              <w:t>-</w:t>
            </w:r>
            <w:r>
              <w:rPr>
                <w:rFonts w:hint="eastAsia" w:eastAsia="仿宋"/>
                <w:szCs w:val="21"/>
              </w:rPr>
              <w:t>南开联合实验室</w:t>
            </w:r>
          </w:p>
        </w:tc>
        <w:tc>
          <w:tcPr>
            <w:tcW w:w="2373" w:type="dxa"/>
            <w:vAlign w:val="center"/>
          </w:tcPr>
          <w:p>
            <w:pPr>
              <w:spacing w:line="360" w:lineRule="auto"/>
              <w:jc w:val="center"/>
              <w:rPr>
                <w:rFonts w:eastAsia="仿宋"/>
                <w:szCs w:val="21"/>
              </w:rPr>
            </w:pPr>
            <w:r>
              <w:rPr>
                <w:rFonts w:hint="eastAsia" w:eastAsia="仿宋"/>
                <w:szCs w:val="21"/>
              </w:rPr>
              <w:t>百度科技</w:t>
            </w:r>
          </w:p>
        </w:tc>
        <w:tc>
          <w:tcPr>
            <w:tcW w:w="1263" w:type="dxa"/>
            <w:vAlign w:val="center"/>
          </w:tcPr>
          <w:p>
            <w:pPr>
              <w:spacing w:line="360" w:lineRule="auto"/>
              <w:jc w:val="center"/>
              <w:rPr>
                <w:rFonts w:eastAsia="仿宋"/>
                <w:szCs w:val="21"/>
              </w:rPr>
            </w:pPr>
            <w:r>
              <w:rPr>
                <w:rFonts w:eastAsia="仿宋"/>
                <w:szCs w:val="21"/>
              </w:rPr>
              <w:t>2008</w:t>
            </w:r>
          </w:p>
        </w:tc>
        <w:tc>
          <w:tcPr>
            <w:tcW w:w="1560" w:type="dxa"/>
            <w:vAlign w:val="center"/>
          </w:tcPr>
          <w:p>
            <w:pPr>
              <w:spacing w:line="360" w:lineRule="auto"/>
              <w:jc w:val="center"/>
              <w:rPr>
                <w:rFonts w:eastAsia="仿宋"/>
                <w:szCs w:val="21"/>
              </w:rPr>
            </w:pPr>
            <w:r>
              <w:rPr>
                <w:rFonts w:hint="eastAsia" w:eastAsia="仿宋"/>
                <w:szCs w:val="21"/>
              </w:rPr>
              <w:t>计算机学院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数据库安全实验室</w:t>
            </w:r>
          </w:p>
        </w:tc>
        <w:tc>
          <w:tcPr>
            <w:tcW w:w="2373" w:type="dxa"/>
            <w:vAlign w:val="center"/>
          </w:tcPr>
          <w:p>
            <w:pPr>
              <w:spacing w:line="360" w:lineRule="auto"/>
              <w:jc w:val="center"/>
              <w:rPr>
                <w:rFonts w:eastAsia="仿宋"/>
                <w:szCs w:val="21"/>
              </w:rPr>
            </w:pPr>
            <w:r>
              <w:rPr>
                <w:rFonts w:hint="eastAsia" w:eastAsia="仿宋"/>
                <w:szCs w:val="21"/>
              </w:rPr>
              <w:t>安华金和</w:t>
            </w:r>
          </w:p>
        </w:tc>
        <w:tc>
          <w:tcPr>
            <w:tcW w:w="1263" w:type="dxa"/>
            <w:vAlign w:val="center"/>
          </w:tcPr>
          <w:p>
            <w:pPr>
              <w:spacing w:line="360" w:lineRule="auto"/>
              <w:jc w:val="center"/>
              <w:rPr>
                <w:rFonts w:eastAsia="仿宋"/>
                <w:szCs w:val="21"/>
              </w:rPr>
            </w:pPr>
            <w:r>
              <w:rPr>
                <w:rFonts w:eastAsia="仿宋"/>
                <w:szCs w:val="21"/>
              </w:rPr>
              <w:t>2016</w:t>
            </w:r>
          </w:p>
        </w:tc>
        <w:tc>
          <w:tcPr>
            <w:tcW w:w="1560" w:type="dxa"/>
            <w:vAlign w:val="center"/>
          </w:tcPr>
          <w:p>
            <w:pPr>
              <w:spacing w:line="360" w:lineRule="auto"/>
              <w:jc w:val="center"/>
              <w:rPr>
                <w:rFonts w:eastAsia="仿宋"/>
                <w:szCs w:val="21"/>
              </w:rPr>
            </w:pPr>
            <w:r>
              <w:rPr>
                <w:rFonts w:hint="eastAsia" w:eastAsia="仿宋"/>
                <w:szCs w:val="21"/>
              </w:rPr>
              <w:t>网络空间安全学院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0" w:type="dxa"/>
            <w:vAlign w:val="center"/>
          </w:tcPr>
          <w:p>
            <w:pPr>
              <w:spacing w:line="360" w:lineRule="auto"/>
              <w:jc w:val="center"/>
              <w:rPr>
                <w:rFonts w:eastAsia="仿宋"/>
                <w:szCs w:val="21"/>
              </w:rPr>
            </w:pPr>
            <w:r>
              <w:rPr>
                <w:rFonts w:hint="eastAsia" w:eastAsia="仿宋"/>
                <w:szCs w:val="21"/>
              </w:rPr>
              <w:t>面向计算机系统能力培养的龙芯</w:t>
            </w:r>
            <w:r>
              <w:rPr>
                <w:rFonts w:eastAsia="仿宋"/>
                <w:szCs w:val="21"/>
              </w:rPr>
              <w:t>CPU</w:t>
            </w:r>
            <w:r>
              <w:rPr>
                <w:rFonts w:hint="eastAsia" w:eastAsia="仿宋"/>
                <w:szCs w:val="21"/>
              </w:rPr>
              <w:t>开源计划试点高校</w:t>
            </w:r>
          </w:p>
        </w:tc>
        <w:tc>
          <w:tcPr>
            <w:tcW w:w="2373" w:type="dxa"/>
            <w:vAlign w:val="center"/>
          </w:tcPr>
          <w:p>
            <w:pPr>
              <w:spacing w:line="360" w:lineRule="auto"/>
              <w:jc w:val="center"/>
              <w:rPr>
                <w:rFonts w:eastAsia="仿宋"/>
                <w:szCs w:val="21"/>
              </w:rPr>
            </w:pPr>
            <w:r>
              <w:rPr>
                <w:rFonts w:hint="eastAsia" w:eastAsia="仿宋"/>
                <w:szCs w:val="21"/>
              </w:rPr>
              <w:t>龙芯中科技术有限公司</w:t>
            </w:r>
          </w:p>
        </w:tc>
        <w:tc>
          <w:tcPr>
            <w:tcW w:w="1263" w:type="dxa"/>
            <w:vAlign w:val="center"/>
          </w:tcPr>
          <w:p>
            <w:pPr>
              <w:spacing w:line="360" w:lineRule="auto"/>
              <w:jc w:val="center"/>
              <w:rPr>
                <w:rFonts w:eastAsia="仿宋"/>
                <w:szCs w:val="21"/>
              </w:rPr>
            </w:pPr>
            <w:r>
              <w:rPr>
                <w:rFonts w:eastAsia="仿宋"/>
                <w:szCs w:val="21"/>
              </w:rPr>
              <w:t>2016</w:t>
            </w:r>
          </w:p>
        </w:tc>
        <w:tc>
          <w:tcPr>
            <w:tcW w:w="1560" w:type="dxa"/>
            <w:vAlign w:val="center"/>
          </w:tcPr>
          <w:p>
            <w:pPr>
              <w:spacing w:line="360" w:lineRule="auto"/>
              <w:jc w:val="center"/>
              <w:rPr>
                <w:rFonts w:eastAsia="仿宋"/>
                <w:szCs w:val="21"/>
              </w:rPr>
            </w:pPr>
            <w:r>
              <w:rPr>
                <w:rFonts w:hint="eastAsia" w:eastAsia="仿宋"/>
                <w:szCs w:val="21"/>
              </w:rPr>
              <w:t>网络空间安全学院</w:t>
            </w:r>
          </w:p>
        </w:tc>
      </w:tr>
    </w:tbl>
    <w:p>
      <w:pPr>
        <w:snapToGrid w:val="0"/>
        <w:spacing w:line="360" w:lineRule="auto"/>
        <w:rPr>
          <w:rFonts w:ascii="仿宋" w:hAnsi="仿宋" w:eastAsia="仿宋"/>
          <w:sz w:val="28"/>
          <w:szCs w:val="28"/>
        </w:rPr>
      </w:pPr>
    </w:p>
    <w:p>
      <w:pPr>
        <w:pStyle w:val="14"/>
        <w:numPr>
          <w:ilvl w:val="0"/>
          <w:numId w:val="1"/>
        </w:numPr>
        <w:snapToGrid w:val="0"/>
        <w:spacing w:line="360" w:lineRule="auto"/>
        <w:ind w:firstLineChars="0"/>
        <w:rPr>
          <w:rFonts w:ascii="仿宋" w:hAnsi="仿宋" w:eastAsia="仿宋"/>
          <w:b/>
          <w:sz w:val="28"/>
          <w:szCs w:val="28"/>
        </w:rPr>
      </w:pPr>
      <w:r>
        <w:rPr>
          <w:rFonts w:hint="eastAsia" w:ascii="仿宋" w:hAnsi="仿宋" w:eastAsia="仿宋"/>
          <w:b/>
          <w:sz w:val="28"/>
          <w:szCs w:val="28"/>
        </w:rPr>
        <w:t>南开人工智能学科依托的实验</w:t>
      </w:r>
      <w:r>
        <w:rPr>
          <w:rFonts w:ascii="仿宋" w:hAnsi="仿宋" w:eastAsia="仿宋"/>
          <w:b/>
          <w:sz w:val="28"/>
          <w:szCs w:val="28"/>
        </w:rPr>
        <w:t>和实践</w:t>
      </w:r>
      <w:r>
        <w:rPr>
          <w:rFonts w:hint="eastAsia" w:ascii="仿宋" w:hAnsi="仿宋" w:eastAsia="仿宋"/>
          <w:b/>
          <w:sz w:val="28"/>
          <w:szCs w:val="28"/>
        </w:rPr>
        <w:t>教学平台</w:t>
      </w:r>
    </w:p>
    <w:p>
      <w:pPr>
        <w:snapToGrid w:val="0"/>
        <w:spacing w:line="360" w:lineRule="auto"/>
        <w:ind w:firstLine="480"/>
        <w:rPr>
          <w:rFonts w:ascii="仿宋" w:hAnsi="仿宋" w:eastAsia="仿宋"/>
          <w:sz w:val="28"/>
          <w:szCs w:val="28"/>
        </w:rPr>
      </w:pPr>
      <w:r>
        <w:rPr>
          <w:rFonts w:hint="eastAsia" w:ascii="仿宋" w:hAnsi="仿宋" w:eastAsia="仿宋"/>
          <w:sz w:val="28"/>
          <w:szCs w:val="28"/>
        </w:rPr>
        <w:t>人工智能学科科研成果突出，创新团队及其成员获得了很多高水平科研奖励。以近五</w:t>
      </w:r>
      <w:r>
        <w:rPr>
          <w:rFonts w:ascii="仿宋" w:hAnsi="仿宋" w:eastAsia="仿宋"/>
          <w:sz w:val="28"/>
          <w:szCs w:val="28"/>
        </w:rPr>
        <w:t>年为例，2017年，完成世界首批17头机器人克隆猪，2018年，该项成果入选“2018中国智能制造十大科技进展”（唯一由高校完成）；在欠驱动系统等方面的理论性成果先后荣获第七届吴文俊人工智能自然科学奖一等奖（本届唯一，2017年）、第五届陈翰馥奖（2018年）、2018年天津市自然科学一等奖，实际应用方面的成果获得了天津市专利奖金奖（2017年）</w:t>
      </w:r>
      <w:r>
        <w:rPr>
          <w:rFonts w:hint="eastAsia" w:ascii="仿宋" w:hAnsi="仿宋" w:eastAsia="仿宋"/>
          <w:sz w:val="28"/>
          <w:szCs w:val="28"/>
        </w:rPr>
        <w:t>。</w:t>
      </w:r>
    </w:p>
    <w:tbl>
      <w:tblPr>
        <w:tblStyle w:val="9"/>
        <w:tblW w:w="8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471"/>
        <w:gridCol w:w="1496"/>
        <w:gridCol w:w="1590"/>
        <w:gridCol w:w="1034"/>
        <w:gridCol w:w="989"/>
        <w:gridCol w:w="1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814" w:type="pct"/>
            <w:vMerge w:val="restart"/>
            <w:vAlign w:val="center"/>
          </w:tcPr>
          <w:p>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实验和实践</w:t>
            </w:r>
          </w:p>
          <w:p>
            <w:pPr>
              <w:spacing w:line="360" w:lineRule="auto"/>
              <w:jc w:val="center"/>
              <w:rPr>
                <w:rFonts w:ascii="Times New Roman" w:hAnsi="Times New Roman" w:eastAsia="仿宋_GB2312" w:cs="Times New Roman"/>
                <w:szCs w:val="21"/>
              </w:rPr>
            </w:pPr>
            <w:r>
              <w:rPr>
                <w:rFonts w:ascii="Times New Roman" w:hAnsi="Times New Roman" w:eastAsia="仿宋_GB2312" w:cs="Times New Roman"/>
                <w:szCs w:val="21"/>
              </w:rPr>
              <w:t>教学平台</w:t>
            </w:r>
          </w:p>
        </w:tc>
        <w:tc>
          <w:tcPr>
            <w:tcW w:w="285" w:type="pct"/>
            <w:vAlign w:val="center"/>
          </w:tcPr>
          <w:p>
            <w:pPr>
              <w:spacing w:line="360" w:lineRule="auto"/>
              <w:jc w:val="center"/>
              <w:rPr>
                <w:rFonts w:ascii="Times New Roman" w:hAnsi="Times New Roman" w:eastAsia="仿宋" w:cs="Times New Roman"/>
                <w:szCs w:val="21"/>
              </w:rPr>
            </w:pPr>
            <w:r>
              <w:rPr>
                <w:rFonts w:ascii="Times New Roman" w:hAnsi="Times New Roman" w:eastAsia="仿宋" w:cs="Times New Roman"/>
                <w:szCs w:val="21"/>
              </w:rPr>
              <w:t>1</w:t>
            </w:r>
          </w:p>
        </w:tc>
        <w:tc>
          <w:tcPr>
            <w:tcW w:w="906"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计算机与控制工程虚拟仿真实验教学中心</w:t>
            </w:r>
          </w:p>
        </w:tc>
        <w:tc>
          <w:tcPr>
            <w:tcW w:w="963"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国家级虚拟仿真实验教学中心</w:t>
            </w:r>
          </w:p>
        </w:tc>
        <w:tc>
          <w:tcPr>
            <w:tcW w:w="626"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2016年</w:t>
            </w:r>
            <w:r>
              <w:rPr>
                <w:rFonts w:hint="eastAsia" w:ascii="Times New Roman" w:hAnsi="Times New Roman" w:eastAsia="仿宋" w:cs="Times New Roman"/>
                <w:szCs w:val="21"/>
              </w:rPr>
              <w:t>至今</w:t>
            </w:r>
          </w:p>
        </w:tc>
        <w:tc>
          <w:tcPr>
            <w:tcW w:w="599"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国家级</w:t>
            </w:r>
          </w:p>
        </w:tc>
        <w:tc>
          <w:tcPr>
            <w:tcW w:w="807"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教育部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814" w:type="pct"/>
            <w:vMerge w:val="continue"/>
            <w:vAlign w:val="center"/>
          </w:tcPr>
          <w:p>
            <w:pPr>
              <w:spacing w:line="360" w:lineRule="auto"/>
              <w:jc w:val="center"/>
              <w:rPr>
                <w:rFonts w:ascii="Times New Roman" w:hAnsi="Times New Roman" w:eastAsia="仿宋_GB2312" w:cs="Times New Roman"/>
                <w:szCs w:val="21"/>
              </w:rPr>
            </w:pPr>
          </w:p>
        </w:tc>
        <w:tc>
          <w:tcPr>
            <w:tcW w:w="285" w:type="pct"/>
            <w:vAlign w:val="center"/>
          </w:tcPr>
          <w:p>
            <w:pPr>
              <w:spacing w:line="360" w:lineRule="auto"/>
              <w:jc w:val="center"/>
              <w:rPr>
                <w:rFonts w:ascii="Times New Roman" w:hAnsi="Times New Roman" w:eastAsia="仿宋" w:cs="Times New Roman"/>
                <w:szCs w:val="21"/>
              </w:rPr>
            </w:pPr>
            <w:r>
              <w:rPr>
                <w:rFonts w:ascii="Times New Roman" w:hAnsi="Times New Roman" w:eastAsia="仿宋" w:cs="Times New Roman"/>
                <w:szCs w:val="21"/>
              </w:rPr>
              <w:t>2</w:t>
            </w:r>
          </w:p>
        </w:tc>
        <w:tc>
          <w:tcPr>
            <w:tcW w:w="906"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计算机与控制工程实验教学示范中心</w:t>
            </w:r>
          </w:p>
        </w:tc>
        <w:tc>
          <w:tcPr>
            <w:tcW w:w="963"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计算机与控制工程市级实验教学示范中心</w:t>
            </w:r>
          </w:p>
        </w:tc>
        <w:tc>
          <w:tcPr>
            <w:tcW w:w="626"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2017年</w:t>
            </w:r>
            <w:r>
              <w:rPr>
                <w:rFonts w:hint="eastAsia" w:ascii="Times New Roman" w:hAnsi="Times New Roman" w:eastAsia="仿宋" w:cs="Times New Roman"/>
                <w:szCs w:val="21"/>
              </w:rPr>
              <w:t>至今</w:t>
            </w:r>
          </w:p>
        </w:tc>
        <w:tc>
          <w:tcPr>
            <w:tcW w:w="599"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省部级</w:t>
            </w:r>
          </w:p>
        </w:tc>
        <w:tc>
          <w:tcPr>
            <w:tcW w:w="807"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天津市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jc w:val="center"/>
        </w:trPr>
        <w:tc>
          <w:tcPr>
            <w:tcW w:w="814" w:type="pct"/>
            <w:vMerge w:val="continue"/>
            <w:vAlign w:val="center"/>
          </w:tcPr>
          <w:p>
            <w:pPr>
              <w:spacing w:line="360" w:lineRule="auto"/>
              <w:jc w:val="center"/>
              <w:rPr>
                <w:rFonts w:ascii="Times New Roman" w:hAnsi="Times New Roman" w:eastAsia="仿宋_GB2312" w:cs="Times New Roman"/>
                <w:szCs w:val="21"/>
              </w:rPr>
            </w:pPr>
          </w:p>
        </w:tc>
        <w:tc>
          <w:tcPr>
            <w:tcW w:w="285" w:type="pct"/>
            <w:vAlign w:val="center"/>
          </w:tcPr>
          <w:p>
            <w:pPr>
              <w:spacing w:line="360" w:lineRule="auto"/>
              <w:jc w:val="center"/>
              <w:rPr>
                <w:rFonts w:ascii="Times New Roman" w:hAnsi="Times New Roman" w:eastAsia="仿宋" w:cs="Times New Roman"/>
                <w:szCs w:val="21"/>
              </w:rPr>
            </w:pPr>
            <w:r>
              <w:rPr>
                <w:rFonts w:ascii="Times New Roman" w:hAnsi="Times New Roman" w:eastAsia="仿宋" w:cs="Times New Roman"/>
                <w:szCs w:val="21"/>
              </w:rPr>
              <w:t>3</w:t>
            </w:r>
          </w:p>
        </w:tc>
        <w:tc>
          <w:tcPr>
            <w:tcW w:w="906"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华为沃土AI人才培养计划</w:t>
            </w:r>
          </w:p>
        </w:tc>
        <w:tc>
          <w:tcPr>
            <w:tcW w:w="963"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华为信息与网络技术学院创新人才中心</w:t>
            </w:r>
          </w:p>
        </w:tc>
        <w:tc>
          <w:tcPr>
            <w:tcW w:w="626"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2019年</w:t>
            </w:r>
          </w:p>
        </w:tc>
        <w:tc>
          <w:tcPr>
            <w:tcW w:w="599"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省部级</w:t>
            </w:r>
          </w:p>
        </w:tc>
        <w:tc>
          <w:tcPr>
            <w:tcW w:w="807" w:type="pct"/>
            <w:vAlign w:val="center"/>
          </w:tcPr>
          <w:p>
            <w:pPr>
              <w:spacing w:line="360" w:lineRule="auto"/>
              <w:jc w:val="left"/>
              <w:rPr>
                <w:rFonts w:ascii="Times New Roman" w:hAnsi="Times New Roman" w:eastAsia="仿宋" w:cs="Times New Roman"/>
                <w:szCs w:val="21"/>
              </w:rPr>
            </w:pPr>
            <w:r>
              <w:rPr>
                <w:rFonts w:ascii="Times New Roman" w:hAnsi="Times New Roman" w:eastAsia="仿宋" w:cs="Times New Roman"/>
                <w:szCs w:val="21"/>
              </w:rPr>
              <w:t>华为有限公司、南开大学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jc w:val="center"/>
        </w:trPr>
        <w:tc>
          <w:tcPr>
            <w:tcW w:w="814" w:type="pct"/>
            <w:vAlign w:val="center"/>
          </w:tcPr>
          <w:p>
            <w:pPr>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科研平台</w:t>
            </w:r>
          </w:p>
        </w:tc>
        <w:tc>
          <w:tcPr>
            <w:tcW w:w="285" w:type="pct"/>
            <w:vAlign w:val="center"/>
          </w:tcPr>
          <w:p>
            <w:pPr>
              <w:spacing w:line="360" w:lineRule="auto"/>
              <w:jc w:val="center"/>
              <w:rPr>
                <w:rFonts w:ascii="Times New Roman" w:hAnsi="Times New Roman" w:eastAsia="仿宋" w:cs="Times New Roman"/>
                <w:szCs w:val="21"/>
              </w:rPr>
            </w:pPr>
          </w:p>
        </w:tc>
        <w:tc>
          <w:tcPr>
            <w:tcW w:w="906"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天津市智能机器人重点实验室</w:t>
            </w:r>
          </w:p>
        </w:tc>
        <w:tc>
          <w:tcPr>
            <w:tcW w:w="963"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天津市重点实验室</w:t>
            </w:r>
          </w:p>
        </w:tc>
        <w:tc>
          <w:tcPr>
            <w:tcW w:w="626"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2013</w:t>
            </w:r>
          </w:p>
        </w:tc>
        <w:tc>
          <w:tcPr>
            <w:tcW w:w="599"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省部级</w:t>
            </w:r>
          </w:p>
        </w:tc>
        <w:tc>
          <w:tcPr>
            <w:tcW w:w="807" w:type="pct"/>
            <w:vAlign w:val="center"/>
          </w:tcPr>
          <w:p>
            <w:pPr>
              <w:spacing w:line="360" w:lineRule="auto"/>
              <w:jc w:val="left"/>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jc w:val="center"/>
        </w:trPr>
        <w:tc>
          <w:tcPr>
            <w:tcW w:w="814" w:type="pct"/>
            <w:vMerge w:val="restart"/>
            <w:vAlign w:val="center"/>
          </w:tcPr>
          <w:p>
            <w:pPr>
              <w:spacing w:line="360" w:lineRule="auto"/>
              <w:jc w:val="center"/>
              <w:rPr>
                <w:rFonts w:ascii="Times New Roman" w:hAnsi="Times New Roman" w:eastAsia="仿宋_GB2312" w:cs="Times New Roman"/>
                <w:szCs w:val="21"/>
              </w:rPr>
            </w:pPr>
            <w:r>
              <w:rPr>
                <w:rFonts w:hint="eastAsia" w:ascii="Times New Roman" w:hAnsi="Times New Roman" w:eastAsia="仿宋_GB2312" w:cs="Times New Roman"/>
                <w:szCs w:val="21"/>
              </w:rPr>
              <w:t>国际合作</w:t>
            </w:r>
          </w:p>
        </w:tc>
        <w:tc>
          <w:tcPr>
            <w:tcW w:w="285" w:type="pct"/>
            <w:vAlign w:val="center"/>
          </w:tcPr>
          <w:p>
            <w:pPr>
              <w:spacing w:line="360" w:lineRule="auto"/>
              <w:jc w:val="center"/>
              <w:rPr>
                <w:rFonts w:ascii="Times New Roman" w:hAnsi="Times New Roman" w:eastAsia="仿宋" w:cs="Times New Roman"/>
                <w:szCs w:val="21"/>
              </w:rPr>
            </w:pPr>
          </w:p>
        </w:tc>
        <w:tc>
          <w:tcPr>
            <w:tcW w:w="906"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机器人智能感知，控制及应用学科创新引智基地</w:t>
            </w:r>
          </w:p>
        </w:tc>
        <w:tc>
          <w:tcPr>
            <w:tcW w:w="963"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111引智基地国际合作基地</w:t>
            </w:r>
          </w:p>
        </w:tc>
        <w:tc>
          <w:tcPr>
            <w:tcW w:w="626"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2019</w:t>
            </w:r>
          </w:p>
        </w:tc>
        <w:tc>
          <w:tcPr>
            <w:tcW w:w="599"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国家级</w:t>
            </w:r>
          </w:p>
        </w:tc>
        <w:tc>
          <w:tcPr>
            <w:tcW w:w="807" w:type="pct"/>
            <w:vAlign w:val="center"/>
          </w:tcPr>
          <w:p>
            <w:pPr>
              <w:spacing w:line="360" w:lineRule="auto"/>
              <w:jc w:val="left"/>
              <w:rPr>
                <w:rFonts w:ascii="Times New Roman" w:hAnsi="Times New Roman" w:eastAsia="仿宋"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6" w:hRule="atLeast"/>
          <w:jc w:val="center"/>
        </w:trPr>
        <w:tc>
          <w:tcPr>
            <w:tcW w:w="814" w:type="pct"/>
            <w:vMerge w:val="continue"/>
            <w:vAlign w:val="center"/>
          </w:tcPr>
          <w:p>
            <w:pPr>
              <w:spacing w:line="360" w:lineRule="auto"/>
              <w:jc w:val="center"/>
              <w:rPr>
                <w:rFonts w:ascii="Times New Roman" w:hAnsi="Times New Roman" w:eastAsia="仿宋_GB2312" w:cs="Times New Roman"/>
                <w:szCs w:val="21"/>
              </w:rPr>
            </w:pPr>
          </w:p>
        </w:tc>
        <w:tc>
          <w:tcPr>
            <w:tcW w:w="285" w:type="pct"/>
            <w:vAlign w:val="center"/>
          </w:tcPr>
          <w:p>
            <w:pPr>
              <w:spacing w:line="360" w:lineRule="auto"/>
              <w:jc w:val="center"/>
              <w:rPr>
                <w:rFonts w:ascii="Times New Roman" w:hAnsi="Times New Roman" w:eastAsia="仿宋" w:cs="Times New Roman"/>
                <w:szCs w:val="21"/>
              </w:rPr>
            </w:pPr>
          </w:p>
        </w:tc>
        <w:tc>
          <w:tcPr>
            <w:tcW w:w="906"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机器人与自动化国际联合研究中心</w:t>
            </w:r>
          </w:p>
        </w:tc>
        <w:tc>
          <w:tcPr>
            <w:tcW w:w="963"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天津市国际合作基地</w:t>
            </w:r>
          </w:p>
        </w:tc>
        <w:tc>
          <w:tcPr>
            <w:tcW w:w="626"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2017</w:t>
            </w:r>
          </w:p>
        </w:tc>
        <w:tc>
          <w:tcPr>
            <w:tcW w:w="599" w:type="pct"/>
            <w:vAlign w:val="center"/>
          </w:tcPr>
          <w:p>
            <w:pPr>
              <w:spacing w:line="360" w:lineRule="auto"/>
              <w:jc w:val="left"/>
              <w:rPr>
                <w:rFonts w:ascii="Times New Roman" w:hAnsi="Times New Roman" w:eastAsia="仿宋" w:cs="Times New Roman"/>
                <w:szCs w:val="21"/>
              </w:rPr>
            </w:pPr>
            <w:r>
              <w:rPr>
                <w:rFonts w:hint="eastAsia" w:ascii="Times New Roman" w:hAnsi="Times New Roman" w:eastAsia="仿宋" w:cs="Times New Roman"/>
                <w:szCs w:val="21"/>
              </w:rPr>
              <w:t>省部级</w:t>
            </w:r>
          </w:p>
        </w:tc>
        <w:tc>
          <w:tcPr>
            <w:tcW w:w="807" w:type="pct"/>
            <w:vAlign w:val="center"/>
          </w:tcPr>
          <w:p>
            <w:pPr>
              <w:spacing w:line="360" w:lineRule="auto"/>
              <w:jc w:val="left"/>
              <w:rPr>
                <w:rFonts w:ascii="Times New Roman" w:hAnsi="Times New Roman" w:eastAsia="仿宋" w:cs="Times New Roman"/>
                <w:szCs w:val="21"/>
              </w:rPr>
            </w:pPr>
          </w:p>
        </w:tc>
      </w:tr>
    </w:tbl>
    <w:p>
      <w:pPr>
        <w:adjustRightInd w:val="0"/>
        <w:snapToGrid w:val="0"/>
        <w:spacing w:line="360" w:lineRule="auto"/>
        <w:rPr>
          <w:rFonts w:ascii="黑体" w:hAnsi="黑体" w:eastAsia="黑体" w:cs="Times New Roman"/>
          <w:b/>
          <w:sz w:val="30"/>
          <w:szCs w:val="30"/>
        </w:rPr>
      </w:pPr>
      <w:r>
        <w:rPr>
          <w:rFonts w:ascii="黑体" w:hAnsi="黑体" w:eastAsia="黑体" w:cs="Times New Roman"/>
          <w:b/>
          <w:sz w:val="30"/>
          <w:szCs w:val="30"/>
        </w:rPr>
        <w:t>二、培养目标及培养要求</w:t>
      </w:r>
    </w:p>
    <w:p>
      <w:pPr>
        <w:adjustRightInd w:val="0"/>
        <w:snapToGrid w:val="0"/>
        <w:spacing w:line="360" w:lineRule="auto"/>
        <w:rPr>
          <w:rFonts w:ascii="仿宋" w:hAnsi="仿宋" w:eastAsia="仿宋" w:cs="Times New Roman"/>
          <w:b/>
          <w:sz w:val="28"/>
          <w:szCs w:val="28"/>
        </w:rPr>
      </w:pPr>
      <w:r>
        <w:rPr>
          <w:rFonts w:hint="eastAsia" w:ascii="仿宋" w:hAnsi="仿宋" w:eastAsia="仿宋" w:cs="Times New Roman"/>
          <w:b/>
          <w:sz w:val="28"/>
          <w:szCs w:val="28"/>
        </w:rPr>
        <w:t>（一）分阶段培养目标及毕业生知识能力要求</w:t>
      </w:r>
    </w:p>
    <w:p>
      <w:pPr>
        <w:adjustRightInd w:val="0"/>
        <w:snapToGrid w:val="0"/>
        <w:spacing w:line="360" w:lineRule="auto"/>
        <w:ind w:firstLine="560" w:firstLineChars="200"/>
        <w:jc w:val="left"/>
        <w:rPr>
          <w:rFonts w:ascii="仿宋" w:hAnsi="仿宋" w:eastAsia="仿宋" w:cs="AdobeSongStd-Light"/>
          <w:kern w:val="0"/>
          <w:sz w:val="28"/>
          <w:szCs w:val="28"/>
        </w:rPr>
      </w:pPr>
      <w:r>
        <w:rPr>
          <w:rFonts w:hint="eastAsia" w:ascii="仿宋" w:hAnsi="仿宋" w:eastAsia="仿宋" w:cs="Times New Roman"/>
          <w:color w:val="000000"/>
          <w:kern w:val="0"/>
          <w:sz w:val="28"/>
          <w:szCs w:val="28"/>
        </w:rPr>
        <w:t>数学强</w:t>
      </w:r>
      <w:r>
        <w:rPr>
          <w:rFonts w:ascii="仿宋" w:hAnsi="仿宋" w:eastAsia="仿宋" w:cs="Times New Roman"/>
          <w:color w:val="000000"/>
          <w:kern w:val="0"/>
          <w:sz w:val="28"/>
          <w:szCs w:val="28"/>
        </w:rPr>
        <w:t>基计划</w:t>
      </w:r>
      <w:r>
        <w:rPr>
          <w:rFonts w:hint="eastAsia" w:ascii="仿宋" w:hAnsi="仿宋" w:eastAsia="仿宋" w:cs="Times New Roman"/>
          <w:color w:val="000000"/>
          <w:kern w:val="0"/>
          <w:sz w:val="28"/>
          <w:szCs w:val="28"/>
        </w:rPr>
        <w:t>实行本博衔接培养，学习年限为“3+5”，从第四学年开始</w:t>
      </w:r>
      <w:r>
        <w:rPr>
          <w:rFonts w:hint="eastAsia" w:ascii="仿宋" w:hAnsi="仿宋" w:eastAsia="仿宋"/>
          <w:sz w:val="28"/>
          <w:szCs w:val="28"/>
        </w:rPr>
        <w:t>学生按照直博生培养方案进行研究生课程学习</w:t>
      </w:r>
      <w:r>
        <w:rPr>
          <w:rFonts w:hint="eastAsia" w:ascii="仿宋" w:hAnsi="仿宋" w:eastAsia="仿宋" w:cs="Times New Roman"/>
          <w:color w:val="000000"/>
          <w:kern w:val="0"/>
          <w:sz w:val="28"/>
          <w:szCs w:val="28"/>
        </w:rPr>
        <w:t>。本科阶段培养由数学科学学院承担，</w:t>
      </w:r>
      <w:r>
        <w:rPr>
          <w:rFonts w:hint="eastAsia" w:ascii="仿宋" w:hAnsi="仿宋" w:eastAsia="仿宋" w:cs="Times New Roman"/>
          <w:sz w:val="28"/>
          <w:szCs w:val="28"/>
        </w:rPr>
        <w:t>秉承陈省身先生的数学教育理念，</w:t>
      </w:r>
      <w:r>
        <w:rPr>
          <w:rFonts w:hint="eastAsia" w:ascii="仿宋" w:hAnsi="仿宋" w:eastAsia="仿宋" w:cs="Times New Roman"/>
          <w:color w:val="000000"/>
          <w:kern w:val="0"/>
          <w:sz w:val="28"/>
          <w:szCs w:val="28"/>
        </w:rPr>
        <w:t>延续“数学试点班”培养模式。</w:t>
      </w:r>
      <w:r>
        <w:rPr>
          <w:rFonts w:hint="eastAsia" w:ascii="仿宋" w:hAnsi="仿宋" w:eastAsia="仿宋" w:cs="Times New Roman"/>
          <w:sz w:val="28"/>
          <w:szCs w:val="28"/>
        </w:rPr>
        <w:t>坚持立德树人</w:t>
      </w:r>
      <w:r>
        <w:rPr>
          <w:rFonts w:hint="eastAsia" w:ascii="仿宋" w:hAnsi="仿宋" w:eastAsia="仿宋" w:cs="AdobeSongStd-Light"/>
          <w:kern w:val="0"/>
          <w:sz w:val="28"/>
          <w:szCs w:val="28"/>
        </w:rPr>
        <w:t>根本任务，瞄准世界一流，始终</w:t>
      </w:r>
      <w:r>
        <w:rPr>
          <w:rFonts w:ascii="仿宋" w:hAnsi="仿宋" w:eastAsia="仿宋" w:cs="AdobeSongStd-Light"/>
          <w:kern w:val="0"/>
          <w:sz w:val="28"/>
          <w:szCs w:val="28"/>
        </w:rPr>
        <w:t>致力培养</w:t>
      </w:r>
      <w:r>
        <w:rPr>
          <w:rFonts w:hint="eastAsia" w:ascii="仿宋" w:hAnsi="仿宋" w:eastAsia="仿宋" w:cs="AdobeSongStd-Light"/>
          <w:kern w:val="0"/>
          <w:sz w:val="28"/>
          <w:szCs w:val="28"/>
        </w:rPr>
        <w:t>“具有</w:t>
      </w:r>
      <w:r>
        <w:rPr>
          <w:rFonts w:ascii="仿宋" w:hAnsi="仿宋" w:eastAsia="仿宋" w:cs="AdobeSongStd-Light"/>
          <w:kern w:val="0"/>
          <w:sz w:val="28"/>
          <w:szCs w:val="28"/>
        </w:rPr>
        <w:t>家国</w:t>
      </w:r>
      <w:r>
        <w:rPr>
          <w:rFonts w:hint="eastAsia" w:ascii="仿宋" w:hAnsi="仿宋" w:eastAsia="仿宋" w:cs="AdobeSongStd-Light"/>
          <w:kern w:val="0"/>
          <w:sz w:val="28"/>
          <w:szCs w:val="28"/>
        </w:rPr>
        <w:t>情怀</w:t>
      </w:r>
      <w:r>
        <w:rPr>
          <w:rFonts w:ascii="仿宋" w:hAnsi="仿宋" w:eastAsia="仿宋" w:cs="AdobeSongStd-Light"/>
          <w:kern w:val="0"/>
          <w:sz w:val="28"/>
          <w:szCs w:val="28"/>
        </w:rPr>
        <w:t>、</w:t>
      </w:r>
      <w:r>
        <w:rPr>
          <w:rFonts w:hint="eastAsia" w:ascii="仿宋" w:hAnsi="仿宋" w:eastAsia="仿宋" w:cs="AdobeSongStd-Light"/>
          <w:kern w:val="0"/>
          <w:sz w:val="28"/>
          <w:szCs w:val="28"/>
        </w:rPr>
        <w:t>热爱</w:t>
      </w:r>
      <w:r>
        <w:rPr>
          <w:rFonts w:ascii="仿宋" w:hAnsi="仿宋" w:eastAsia="仿宋" w:cs="AdobeSongStd-Light"/>
          <w:kern w:val="0"/>
          <w:sz w:val="28"/>
          <w:szCs w:val="28"/>
        </w:rPr>
        <w:t>数学、</w:t>
      </w:r>
      <w:r>
        <w:rPr>
          <w:rFonts w:hint="eastAsia" w:ascii="仿宋" w:hAnsi="仿宋" w:eastAsia="仿宋" w:cs="AdobeSongStd-Light"/>
          <w:kern w:val="0"/>
          <w:sz w:val="28"/>
          <w:szCs w:val="28"/>
        </w:rPr>
        <w:t>能够解决重大前沿问题、交叉融合创新、领跑国际一流”的数学和</w:t>
      </w:r>
      <w:r>
        <w:rPr>
          <w:rFonts w:ascii="仿宋" w:hAnsi="仿宋" w:eastAsia="仿宋" w:cs="AdobeSongStd-Light"/>
          <w:kern w:val="0"/>
          <w:sz w:val="28"/>
          <w:szCs w:val="28"/>
        </w:rPr>
        <w:t>相关领域的</w:t>
      </w:r>
      <w:r>
        <w:rPr>
          <w:rFonts w:hint="eastAsia" w:ascii="仿宋" w:hAnsi="仿宋" w:eastAsia="仿宋" w:cs="AdobeSongStd-Light"/>
          <w:kern w:val="0"/>
          <w:sz w:val="28"/>
          <w:szCs w:val="28"/>
        </w:rPr>
        <w:t>杰出人才。毕业生要求熟练掌握数学基础理论、基本研究方法及相关学科的基本知识，了解数学及相关领域最新动态和发展趋势，具有较强的逻辑推理能力、抽象思维能力和空间想象能力。具备运用数学知识分析问题和解决问题的能力，批判性思维和创新能力，同时具有良好的国际视野和人际交往能力。</w:t>
      </w:r>
    </w:p>
    <w:p>
      <w:pPr>
        <w:autoSpaceDE w:val="0"/>
        <w:autoSpaceDN w:val="0"/>
        <w:adjustRightInd w:val="0"/>
        <w:spacing w:line="360" w:lineRule="auto"/>
        <w:ind w:firstLine="560" w:firstLineChars="200"/>
        <w:jc w:val="left"/>
        <w:rPr>
          <w:rFonts w:ascii="仿宋" w:hAnsi="仿宋" w:eastAsia="仿宋" w:cs="AdobeSongStd-Light"/>
          <w:kern w:val="0"/>
          <w:sz w:val="28"/>
          <w:szCs w:val="28"/>
        </w:rPr>
      </w:pPr>
      <w:r>
        <w:rPr>
          <w:rFonts w:hint="eastAsia" w:ascii="仿宋" w:hAnsi="仿宋" w:eastAsia="仿宋" w:cs="AdobeSongStd-Light"/>
          <w:kern w:val="0"/>
          <w:sz w:val="28"/>
          <w:szCs w:val="28"/>
        </w:rPr>
        <w:t>强基计划学生在研究生阶段分流培养，由</w:t>
      </w:r>
      <w:r>
        <w:rPr>
          <w:rFonts w:hint="eastAsia" w:ascii="仿宋" w:hAnsi="仿宋" w:eastAsia="仿宋"/>
          <w:sz w:val="28"/>
          <w:szCs w:val="28"/>
        </w:rPr>
        <w:t>数学科学学院、陈省身数学研究所、组合数学中心、统计与数据科学学院、计算机学院、网络空间安全学院、人工智能学院分别</w:t>
      </w:r>
      <w:r>
        <w:rPr>
          <w:rFonts w:ascii="仿宋" w:hAnsi="仿宋" w:eastAsia="仿宋"/>
          <w:sz w:val="28"/>
          <w:szCs w:val="28"/>
        </w:rPr>
        <w:t>承担，</w:t>
      </w:r>
      <w:r>
        <w:rPr>
          <w:rFonts w:hint="eastAsia" w:ascii="仿宋" w:hAnsi="仿宋" w:eastAsia="仿宋"/>
          <w:sz w:val="28"/>
          <w:szCs w:val="28"/>
        </w:rPr>
        <w:t>具体</w:t>
      </w:r>
      <w:r>
        <w:rPr>
          <w:rFonts w:ascii="仿宋" w:hAnsi="仿宋" w:eastAsia="仿宋" w:cs="Times New Roman"/>
          <w:sz w:val="28"/>
          <w:szCs w:val="28"/>
        </w:rPr>
        <w:t>培养目标及</w:t>
      </w:r>
      <w:r>
        <w:rPr>
          <w:rFonts w:hint="eastAsia" w:ascii="仿宋" w:hAnsi="仿宋" w:eastAsia="仿宋" w:cs="Times New Roman"/>
          <w:sz w:val="28"/>
          <w:szCs w:val="28"/>
        </w:rPr>
        <w:t>毕业生知识能力要求如下。</w:t>
      </w:r>
    </w:p>
    <w:p>
      <w:pPr>
        <w:widowControl/>
        <w:spacing w:line="360" w:lineRule="auto"/>
        <w:ind w:firstLine="560" w:firstLineChars="200"/>
        <w:rPr>
          <w:rFonts w:ascii="仿宋" w:hAnsi="仿宋" w:eastAsia="仿宋" w:cs="Times New Roman"/>
          <w:sz w:val="28"/>
          <w:szCs w:val="28"/>
        </w:rPr>
      </w:pPr>
      <w:r>
        <w:rPr>
          <w:rFonts w:hint="eastAsia" w:ascii="仿宋" w:hAnsi="仿宋" w:eastAsia="仿宋" w:cs="AdobeSongStd-Light"/>
          <w:kern w:val="0"/>
          <w:sz w:val="28"/>
          <w:szCs w:val="28"/>
        </w:rPr>
        <w:t>数学科学学院、陈省身数学研究所、组合数学中心直博生培养目标为</w:t>
      </w:r>
      <w:r>
        <w:rPr>
          <w:rFonts w:hint="eastAsia" w:ascii="仿宋" w:hAnsi="仿宋" w:eastAsia="仿宋" w:cs="Times New Roman"/>
          <w:sz w:val="28"/>
          <w:szCs w:val="28"/>
        </w:rPr>
        <w:t>培养政治素质高，思想品德过硬，具有良好的职业道德和坚实的专业知识，能为我国的教育和科研事业服务的基础数学</w:t>
      </w:r>
      <w:r>
        <w:rPr>
          <w:rFonts w:hint="eastAsia" w:ascii="仿宋" w:hAnsi="仿宋" w:eastAsia="仿宋"/>
          <w:sz w:val="28"/>
          <w:szCs w:val="28"/>
        </w:rPr>
        <w:t>、</w:t>
      </w:r>
      <w:r>
        <w:rPr>
          <w:rFonts w:hint="eastAsia" w:ascii="仿宋" w:hAnsi="仿宋" w:eastAsia="仿宋" w:cs="Times New Roman"/>
          <w:sz w:val="28"/>
          <w:szCs w:val="28"/>
        </w:rPr>
        <w:t>计算数学</w:t>
      </w:r>
      <w:r>
        <w:rPr>
          <w:rFonts w:hint="eastAsia" w:ascii="仿宋" w:hAnsi="仿宋" w:eastAsia="仿宋"/>
          <w:sz w:val="28"/>
          <w:szCs w:val="28"/>
        </w:rPr>
        <w:t>、</w:t>
      </w:r>
      <w:r>
        <w:rPr>
          <w:rFonts w:hint="eastAsia" w:ascii="仿宋" w:hAnsi="仿宋" w:eastAsia="仿宋" w:cs="Times New Roman"/>
          <w:sz w:val="28"/>
          <w:szCs w:val="28"/>
        </w:rPr>
        <w:t>概率论与数理统计</w:t>
      </w:r>
      <w:r>
        <w:rPr>
          <w:rFonts w:hint="eastAsia" w:ascii="仿宋" w:hAnsi="仿宋" w:eastAsia="仿宋"/>
          <w:sz w:val="28"/>
          <w:szCs w:val="28"/>
        </w:rPr>
        <w:t>、应用数学</w:t>
      </w:r>
      <w:r>
        <w:rPr>
          <w:rFonts w:hint="eastAsia" w:ascii="仿宋" w:hAnsi="仿宋" w:eastAsia="仿宋" w:cs="Times New Roman"/>
          <w:sz w:val="28"/>
          <w:szCs w:val="28"/>
        </w:rPr>
        <w:t>高级人才。</w:t>
      </w:r>
      <w:r>
        <w:rPr>
          <w:rFonts w:hint="eastAsia" w:ascii="仿宋" w:hAnsi="仿宋" w:eastAsia="仿宋"/>
          <w:sz w:val="28"/>
          <w:szCs w:val="28"/>
        </w:rPr>
        <w:t>毕业生</w:t>
      </w:r>
      <w:r>
        <w:rPr>
          <w:rFonts w:hint="eastAsia" w:ascii="仿宋" w:hAnsi="仿宋" w:eastAsia="仿宋" w:cs="Times New Roman"/>
          <w:sz w:val="28"/>
          <w:szCs w:val="28"/>
        </w:rPr>
        <w:t>要求具有系统深入、宽厚而又坚实的基础数学学术基础，熟悉并掌握本专业国际上研究的最前沿的动态，并且能够在本领域从事深入的科研探索和创新性研究。熟练掌握一门外国语、初步掌握第二外语。毕业后可以独立从事本专业的理论研究及教学工作，并在科学研究上能做出创造性的成果。能够胜任高等院校、科研机构和其他企事业单位的工作。</w:t>
      </w:r>
    </w:p>
    <w:p>
      <w:pPr>
        <w:autoSpaceDE w:val="0"/>
        <w:autoSpaceDN w:val="0"/>
        <w:adjustRightInd w:val="0"/>
        <w:spacing w:line="360" w:lineRule="auto"/>
        <w:ind w:firstLine="560" w:firstLineChars="200"/>
        <w:jc w:val="left"/>
        <w:rPr>
          <w:rFonts w:ascii="仿宋" w:hAnsi="仿宋" w:eastAsia="仿宋" w:cs="Times New Roman"/>
          <w:sz w:val="28"/>
          <w:szCs w:val="28"/>
        </w:rPr>
      </w:pPr>
      <w:r>
        <w:rPr>
          <w:rFonts w:hint="eastAsia" w:ascii="仿宋" w:hAnsi="仿宋" w:eastAsia="仿宋"/>
          <w:sz w:val="28"/>
          <w:szCs w:val="28"/>
        </w:rPr>
        <w:t>统计学直博生</w:t>
      </w:r>
      <w:r>
        <w:rPr>
          <w:rFonts w:hint="eastAsia" w:ascii="仿宋" w:hAnsi="仿宋" w:eastAsia="仿宋" w:cs="Times New Roman"/>
          <w:sz w:val="28"/>
          <w:szCs w:val="28"/>
        </w:rPr>
        <w:t>培养目标为学术领域和企业（包括但不限于国防、新材料研发、先进制造、产品设计、质量控制与改进等企业）培养统计学研究和教学的高层次人才，包括交叉学科的跨学科研究。</w:t>
      </w:r>
      <w:r>
        <w:rPr>
          <w:rFonts w:hint="eastAsia" w:ascii="仿宋" w:hAnsi="仿宋" w:eastAsia="仿宋"/>
          <w:sz w:val="28"/>
          <w:szCs w:val="28"/>
        </w:rPr>
        <w:t>毕业生</w:t>
      </w:r>
      <w:r>
        <w:rPr>
          <w:rFonts w:hint="eastAsia" w:ascii="仿宋" w:hAnsi="仿宋" w:eastAsia="仿宋" w:cs="Times New Roman"/>
          <w:sz w:val="28"/>
          <w:szCs w:val="28"/>
        </w:rPr>
        <w:t>知识能力要求包括：1．系统掌握学科核心课程，做到知识坚实宽广、专业系统深入；2．具有独立的科研能力，熟悉并掌握所研究领域的现状、发展趋势和前沿动态，在统计方法和统计应用方面有原创性研究工作。掌握一定的交叉学科知识，开展跨学科特别是新兴交叉学科的研究。3．具有良好的外语水平和进行国际学术交流的能力。4．具有坚实的数理统计和概率论基础。5．忠诚学术，淡薄名利，严谨治学，努力进取，回报社会，毕业后可从事统计学理论、方法和应用研究的科研和教学工作等。</w:t>
      </w:r>
    </w:p>
    <w:p>
      <w:pPr>
        <w:autoSpaceDE w:val="0"/>
        <w:autoSpaceDN w:val="0"/>
        <w:adjustRightInd w:val="0"/>
        <w:spacing w:line="360" w:lineRule="auto"/>
        <w:ind w:firstLine="560" w:firstLineChars="200"/>
        <w:jc w:val="left"/>
        <w:rPr>
          <w:rFonts w:ascii="仿宋" w:hAnsi="仿宋" w:eastAsia="仿宋"/>
          <w:sz w:val="28"/>
          <w:szCs w:val="28"/>
        </w:rPr>
      </w:pPr>
      <w:r>
        <w:rPr>
          <w:rFonts w:hint="eastAsia" w:ascii="仿宋" w:hAnsi="仿宋" w:eastAsia="仿宋" w:cs="Times New Roman"/>
          <w:sz w:val="28"/>
          <w:szCs w:val="28"/>
        </w:rPr>
        <w:t>计算机科学与技术、网络空间安全直博生</w:t>
      </w:r>
      <w:r>
        <w:rPr>
          <w:rFonts w:hint="eastAsia" w:ascii="仿宋" w:hAnsi="仿宋" w:eastAsia="仿宋"/>
          <w:sz w:val="28"/>
          <w:szCs w:val="28"/>
        </w:rPr>
        <w:t>培养目标：掌握马克思列宁主义、毛泽东思想、邓小平理论、“三个代表”重要思想、科学发展观、习近平新时代中国特色社会主义思想，拥护党的基本路线和方针政策，热爱祖国，遵纪守法，品德良好，学风严谨，积极为社会主义现代化建设事业服务。</w:t>
      </w:r>
    </w:p>
    <w:p>
      <w:pPr>
        <w:autoSpaceDE w:val="0"/>
        <w:autoSpaceDN w:val="0"/>
        <w:adjustRightInd w:val="0"/>
        <w:spacing w:line="360" w:lineRule="auto"/>
        <w:ind w:firstLine="560" w:firstLineChars="200"/>
        <w:jc w:val="left"/>
        <w:rPr>
          <w:rFonts w:ascii="仿宋" w:hAnsi="仿宋" w:eastAsia="仿宋"/>
          <w:sz w:val="28"/>
          <w:szCs w:val="28"/>
        </w:rPr>
      </w:pPr>
      <w:r>
        <w:rPr>
          <w:rFonts w:hint="eastAsia" w:ascii="仿宋" w:hAnsi="仿宋" w:eastAsia="仿宋" w:cs="Times New Roman"/>
          <w:sz w:val="28"/>
          <w:szCs w:val="28"/>
        </w:rPr>
        <w:t>计算机科学与技术直博生要求</w:t>
      </w:r>
      <w:r>
        <w:rPr>
          <w:rFonts w:hint="eastAsia" w:ascii="仿宋" w:hAnsi="仿宋" w:eastAsia="仿宋"/>
          <w:sz w:val="28"/>
          <w:szCs w:val="28"/>
        </w:rPr>
        <w:t>具有坚实宽广的计算机科学与技术的基础理论。深入系统地掌握有关计算机软件、计算机科学理论、计算机系统结构的各种专门知识，了解和熟悉本学科的现状、发展方向和国际前沿，具有独立从事科学研究的能力，能够在计算机应用方面从事创新性研究，通过与其他学科交叉，熟练地解决各类计算机应用的实际问题。</w:t>
      </w:r>
      <w:r>
        <w:rPr>
          <w:rFonts w:ascii="仿宋" w:hAnsi="仿宋" w:eastAsia="仿宋"/>
          <w:sz w:val="28"/>
          <w:szCs w:val="28"/>
        </w:rPr>
        <w:t>至少掌握一门外国语，具有熟练的阅读能力，较好的写、译能力和一定的听、说能力，能熟练地进行本专业的学习、研究和学术交流</w:t>
      </w:r>
      <w:r>
        <w:rPr>
          <w:rFonts w:hint="eastAsia" w:ascii="仿宋" w:hAnsi="仿宋" w:eastAsia="仿宋"/>
          <w:sz w:val="28"/>
          <w:szCs w:val="28"/>
        </w:rPr>
        <w:t>。</w:t>
      </w:r>
    </w:p>
    <w:p>
      <w:pPr>
        <w:autoSpaceDE w:val="0"/>
        <w:autoSpaceDN w:val="0"/>
        <w:adjustRightInd w:val="0"/>
        <w:spacing w:line="360" w:lineRule="auto"/>
        <w:ind w:firstLine="560" w:firstLineChars="200"/>
        <w:jc w:val="left"/>
        <w:rPr>
          <w:rFonts w:ascii="仿宋" w:hAnsi="仿宋" w:eastAsia="仿宋"/>
          <w:kern w:val="0"/>
          <w:sz w:val="28"/>
          <w:szCs w:val="28"/>
        </w:rPr>
      </w:pPr>
      <w:r>
        <w:rPr>
          <w:rFonts w:hint="eastAsia" w:ascii="仿宋" w:hAnsi="仿宋" w:eastAsia="仿宋"/>
          <w:kern w:val="0"/>
          <w:sz w:val="28"/>
          <w:szCs w:val="28"/>
        </w:rPr>
        <w:t>网络空间安全直博生要求</w:t>
      </w:r>
      <w:r>
        <w:rPr>
          <w:rFonts w:hint="eastAsia" w:ascii="仿宋" w:hAnsi="仿宋" w:eastAsia="仿宋" w:cs="Times New Roman"/>
          <w:kern w:val="0"/>
          <w:sz w:val="28"/>
          <w:szCs w:val="28"/>
        </w:rPr>
        <w:t>具有扎实的数理基础、坚实的网络空间安全科学理论基础；掌握系统与软件安全、网络通信及网络安全、密码学及隐私保护等领域的专门知识；具有从事科学研究或独立担负专门技术工作的能力，通过与其他学科交叉，能运用信息安全技术解决多种研究及应用课题；有严谨求实的科学态度与作风；具有</w:t>
      </w:r>
      <w:r>
        <w:rPr>
          <w:rFonts w:hint="eastAsia" w:ascii="仿宋" w:hAnsi="仿宋" w:eastAsia="仿宋" w:cs="Times New Roman"/>
          <w:sz w:val="28"/>
          <w:szCs w:val="28"/>
        </w:rPr>
        <w:t>独立</w:t>
      </w:r>
      <w:r>
        <w:rPr>
          <w:rFonts w:hint="eastAsia" w:ascii="仿宋" w:hAnsi="仿宋" w:eastAsia="仿宋" w:cs="Times New Roman"/>
          <w:kern w:val="0"/>
          <w:sz w:val="28"/>
          <w:szCs w:val="28"/>
        </w:rPr>
        <w:t>从事科学研究和担负专门技术工作的能力；</w:t>
      </w:r>
      <w:r>
        <w:rPr>
          <w:rFonts w:ascii="仿宋" w:hAnsi="仿宋" w:eastAsia="仿宋" w:cs="Times New Roman"/>
          <w:sz w:val="28"/>
          <w:szCs w:val="28"/>
        </w:rPr>
        <w:t>至少掌握一门外国语，具有熟练的阅读能力，较好的写、译能力和一定的听、说能力，能熟练地进行本专业的学习、研究和学术交流</w:t>
      </w:r>
      <w:r>
        <w:rPr>
          <w:rFonts w:hint="eastAsia" w:ascii="仿宋" w:hAnsi="仿宋" w:eastAsia="仿宋" w:cs="Times New Roman"/>
          <w:kern w:val="0"/>
          <w:sz w:val="28"/>
          <w:szCs w:val="28"/>
        </w:rPr>
        <w:t>。</w:t>
      </w:r>
    </w:p>
    <w:p>
      <w:pPr>
        <w:spacing w:line="360" w:lineRule="auto"/>
        <w:ind w:firstLine="560" w:firstLineChars="200"/>
        <w:rPr>
          <w:rFonts w:ascii="仿宋" w:hAnsi="仿宋" w:eastAsia="仿宋" w:cs="Times New Roman"/>
          <w:sz w:val="28"/>
          <w:szCs w:val="28"/>
        </w:rPr>
      </w:pPr>
      <w:r>
        <w:rPr>
          <w:rFonts w:ascii="仿宋" w:hAnsi="仿宋" w:eastAsia="仿宋" w:cs="Times New Roman"/>
          <w:sz w:val="28"/>
          <w:szCs w:val="28"/>
        </w:rPr>
        <w:t>人工智能</w:t>
      </w:r>
      <w:r>
        <w:rPr>
          <w:rFonts w:hint="eastAsia" w:ascii="仿宋" w:hAnsi="仿宋" w:eastAsia="仿宋" w:cs="Times New Roman"/>
          <w:sz w:val="28"/>
          <w:szCs w:val="28"/>
        </w:rPr>
        <w:t>学院直博生培养目标为</w:t>
      </w:r>
      <w:r>
        <w:rPr>
          <w:rFonts w:ascii="仿宋" w:hAnsi="仿宋" w:eastAsia="仿宋" w:cs="Times New Roman"/>
          <w:sz w:val="28"/>
          <w:szCs w:val="28"/>
        </w:rPr>
        <w:t>从事人工智能理论、应用研究，以及系统开发与设计、工程实现等方面的高级专门人才。</w:t>
      </w:r>
      <w:r>
        <w:rPr>
          <w:rFonts w:hint="eastAsia" w:ascii="仿宋" w:hAnsi="仿宋" w:eastAsia="仿宋"/>
          <w:sz w:val="28"/>
          <w:szCs w:val="28"/>
        </w:rPr>
        <w:t>毕业生</w:t>
      </w:r>
      <w:r>
        <w:rPr>
          <w:rFonts w:hint="eastAsia" w:ascii="仿宋" w:hAnsi="仿宋" w:eastAsia="仿宋" w:cs="Times New Roman"/>
          <w:sz w:val="28"/>
          <w:szCs w:val="28"/>
        </w:rPr>
        <w:t>知识能力要求具体包括：</w:t>
      </w:r>
      <w:r>
        <w:rPr>
          <w:rFonts w:ascii="仿宋" w:hAnsi="仿宋" w:eastAsia="仿宋" w:cs="Times New Roman"/>
          <w:sz w:val="28"/>
          <w:szCs w:val="28"/>
        </w:rPr>
        <w:t>应掌握坚实宽广的人工智能基础理论和系统深入的专业知识；了解本学科最新研究成果和发展趋势；具有独立从事人工智能基础理论研究或解决重要工程应用问题的能力，并在理论研究、系统分析与设计等方面取得创新性成果；至少掌握一门外国语，能熟练的阅读本专业的外文资料，具有一定写作能力和进行国际学术交流的能力。</w:t>
      </w:r>
    </w:p>
    <w:p>
      <w:pPr>
        <w:spacing w:line="360" w:lineRule="auto"/>
        <w:rPr>
          <w:rFonts w:ascii="仿宋" w:hAnsi="仿宋" w:eastAsia="仿宋" w:cs="Times New Roman"/>
          <w:b/>
          <w:color w:val="000000"/>
          <w:kern w:val="0"/>
          <w:sz w:val="28"/>
          <w:szCs w:val="28"/>
        </w:rPr>
      </w:pPr>
      <w:r>
        <w:rPr>
          <w:rFonts w:hint="eastAsia" w:ascii="仿宋" w:hAnsi="仿宋" w:eastAsia="仿宋" w:cs="Times New Roman"/>
          <w:b/>
          <w:color w:val="000000"/>
          <w:kern w:val="0"/>
          <w:sz w:val="28"/>
          <w:szCs w:val="28"/>
        </w:rPr>
        <w:t>（二）</w:t>
      </w:r>
      <w:r>
        <w:rPr>
          <w:rFonts w:ascii="仿宋" w:hAnsi="仿宋" w:eastAsia="仿宋" w:cs="Times New Roman"/>
          <w:b/>
          <w:color w:val="000000"/>
          <w:kern w:val="0"/>
          <w:sz w:val="28"/>
          <w:szCs w:val="28"/>
        </w:rPr>
        <w:t>阶段性考核和动态进出办法</w:t>
      </w:r>
    </w:p>
    <w:p>
      <w:pPr>
        <w:autoSpaceDE w:val="0"/>
        <w:autoSpaceDN w:val="0"/>
        <w:adjustRightInd w:val="0"/>
        <w:spacing w:after="200" w:line="276" w:lineRule="auto"/>
        <w:ind w:firstLine="560" w:firstLineChars="200"/>
        <w:jc w:val="left"/>
        <w:rPr>
          <w:rFonts w:ascii="仿宋" w:hAnsi="仿宋" w:eastAsia="仿宋"/>
          <w:sz w:val="28"/>
          <w:szCs w:val="28"/>
        </w:rPr>
      </w:pPr>
      <w:r>
        <w:rPr>
          <w:rFonts w:hint="eastAsia" w:ascii="仿宋" w:hAnsi="仿宋" w:eastAsia="仿宋"/>
          <w:sz w:val="28"/>
          <w:szCs w:val="28"/>
        </w:rPr>
        <w:t>数学强基计划每届招生人数为30名，第一学年、第二学年定期举行强基计划选拔考试，</w:t>
      </w:r>
      <w:r>
        <w:rPr>
          <w:rFonts w:hint="eastAsia" w:ascii="仿宋" w:eastAsia="仿宋" w:cs="仿宋"/>
          <w:sz w:val="28"/>
          <w:szCs w:val="28"/>
          <w:lang w:val="zh-CN"/>
        </w:rPr>
        <w:t>依据学生选拔考试成绩、学术表现以及综合能力等多方面考察鉴定，进行动态调整</w:t>
      </w:r>
      <w:r>
        <w:rPr>
          <w:rFonts w:hint="eastAsia" w:ascii="宋体" w:eastAsia="宋体" w:cs="宋体"/>
          <w:kern w:val="0"/>
          <w:sz w:val="22"/>
          <w:lang w:val="zh-CN"/>
        </w:rPr>
        <w:t>。</w:t>
      </w:r>
      <w:r>
        <w:rPr>
          <w:rFonts w:hint="eastAsia" w:ascii="仿宋" w:hAnsi="仿宋" w:eastAsia="仿宋"/>
          <w:sz w:val="28"/>
          <w:szCs w:val="28"/>
        </w:rPr>
        <w:t>第四学年学生和导师进行双向选择，按照直博生培养方案进行研究生课程学习。</w:t>
      </w:r>
    </w:p>
    <w:p>
      <w:pPr>
        <w:autoSpaceDE w:val="0"/>
        <w:autoSpaceDN w:val="0"/>
        <w:adjustRightInd w:val="0"/>
        <w:spacing w:after="200" w:line="276" w:lineRule="auto"/>
        <w:jc w:val="left"/>
        <w:rPr>
          <w:rFonts w:ascii="仿宋" w:hAnsi="仿宋" w:eastAsia="仿宋"/>
          <w:sz w:val="28"/>
          <w:szCs w:val="28"/>
        </w:rPr>
      </w:pPr>
      <w:r>
        <w:rPr>
          <w:rFonts w:hint="eastAsia" w:ascii="仿宋" w:hAnsi="仿宋" w:eastAsia="仿宋" w:cs="Times New Roman"/>
          <w:b/>
          <w:color w:val="000000"/>
          <w:kern w:val="0"/>
          <w:sz w:val="28"/>
          <w:szCs w:val="28"/>
        </w:rPr>
        <w:t>（三）本博</w:t>
      </w:r>
      <w:r>
        <w:rPr>
          <w:rFonts w:ascii="仿宋" w:hAnsi="仿宋" w:eastAsia="仿宋" w:cs="Times New Roman"/>
          <w:b/>
          <w:color w:val="000000"/>
          <w:kern w:val="0"/>
          <w:sz w:val="28"/>
          <w:szCs w:val="28"/>
        </w:rPr>
        <w:t>衔接的办法</w:t>
      </w:r>
    </w:p>
    <w:p>
      <w:pPr>
        <w:spacing w:line="360" w:lineRule="auto"/>
        <w:ind w:firstLine="560" w:firstLineChars="200"/>
        <w:rPr>
          <w:rFonts w:ascii="仿宋" w:hAnsi="仿宋" w:eastAsia="仿宋"/>
          <w:sz w:val="28"/>
          <w:szCs w:val="28"/>
        </w:rPr>
      </w:pPr>
      <w:r>
        <w:rPr>
          <w:rFonts w:hint="eastAsia" w:ascii="仿宋" w:hAnsi="仿宋" w:eastAsia="仿宋"/>
          <w:sz w:val="28"/>
          <w:szCs w:val="28"/>
        </w:rPr>
        <w:t>从第四学年开始，根据学生的特长和学习志向，学生和导师进行双向选择，在数学科学学院、陈省身数学研究所、组合数学中心、统计与数据科学学院、计算机学院、网络空间安全学院、人工智能学院中选择研究生攻读的专业方向。第四学年学生在学业导师指导下按照直博生培养方案进行研究生课程学习，享受博士研究生助研津贴和优秀新生奖学金等待遇。</w:t>
      </w:r>
    </w:p>
    <w:p>
      <w:pPr>
        <w:spacing w:line="360" w:lineRule="auto"/>
        <w:rPr>
          <w:rFonts w:ascii="黑体" w:hAnsi="黑体" w:eastAsia="黑体" w:cs="Times New Roman"/>
          <w:b/>
          <w:sz w:val="30"/>
          <w:szCs w:val="30"/>
        </w:rPr>
      </w:pPr>
      <w:r>
        <w:rPr>
          <w:rFonts w:ascii="黑体" w:hAnsi="黑体" w:eastAsia="黑体" w:cs="Times New Roman"/>
          <w:b/>
          <w:sz w:val="30"/>
          <w:szCs w:val="30"/>
        </w:rPr>
        <w:t>三、毕业要求及授予学位</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本科生阶段毕业要求完成培养方案课程学习，总学分达到148.5学分（含通识</w:t>
      </w:r>
      <w:r>
        <w:rPr>
          <w:rFonts w:hint="eastAsia" w:ascii="仿宋" w:hAnsi="仿宋" w:eastAsia="仿宋" w:cs="AdobeSongStd-Light"/>
          <w:kern w:val="0"/>
          <w:sz w:val="28"/>
          <w:szCs w:val="28"/>
        </w:rPr>
        <w:t>必修课45.5学分，专业必修课62学分，专业选修课</w:t>
      </w:r>
      <w:r>
        <w:rPr>
          <w:rFonts w:ascii="仿宋" w:hAnsi="仿宋" w:eastAsia="仿宋" w:cs="AdobeSongStd-Light"/>
          <w:kern w:val="0"/>
          <w:sz w:val="28"/>
          <w:szCs w:val="28"/>
        </w:rPr>
        <w:t xml:space="preserve"> 28</w:t>
      </w:r>
      <w:r>
        <w:rPr>
          <w:rFonts w:hint="eastAsia" w:ascii="仿宋" w:hAnsi="仿宋" w:eastAsia="仿宋" w:cs="AdobeSongStd-Light"/>
          <w:kern w:val="0"/>
          <w:sz w:val="28"/>
          <w:szCs w:val="28"/>
        </w:rPr>
        <w:t>学分，通识选修课</w:t>
      </w:r>
      <w:r>
        <w:rPr>
          <w:rFonts w:ascii="仿宋" w:hAnsi="仿宋" w:eastAsia="仿宋" w:cs="AdobeSongStd-Light"/>
          <w:kern w:val="0"/>
          <w:sz w:val="28"/>
          <w:szCs w:val="28"/>
        </w:rPr>
        <w:t xml:space="preserve"> 13</w:t>
      </w:r>
      <w:r>
        <w:rPr>
          <w:rFonts w:hint="eastAsia" w:ascii="仿宋" w:hAnsi="仿宋" w:eastAsia="仿宋" w:cs="AdobeSongStd-Light"/>
          <w:kern w:val="0"/>
          <w:sz w:val="28"/>
          <w:szCs w:val="28"/>
        </w:rPr>
        <w:t>学分），并</w:t>
      </w:r>
      <w:r>
        <w:rPr>
          <w:rFonts w:hint="eastAsia" w:ascii="仿宋" w:hAnsi="仿宋" w:eastAsia="仿宋"/>
          <w:sz w:val="28"/>
          <w:szCs w:val="28"/>
        </w:rPr>
        <w:t>通过本科学士学位毕业答辩，授予理学学士学位。</w:t>
      </w:r>
    </w:p>
    <w:p>
      <w:pPr>
        <w:autoSpaceDE w:val="0"/>
        <w:autoSpaceDN w:val="0"/>
        <w:adjustRightInd w:val="0"/>
        <w:spacing w:line="360" w:lineRule="auto"/>
        <w:ind w:firstLine="560" w:firstLineChars="200"/>
        <w:jc w:val="left"/>
        <w:rPr>
          <w:rFonts w:ascii="仿宋" w:hAnsi="仿宋" w:eastAsia="仿宋"/>
          <w:sz w:val="28"/>
          <w:szCs w:val="28"/>
        </w:rPr>
      </w:pPr>
      <w:r>
        <w:rPr>
          <w:rFonts w:hint="eastAsia" w:ascii="仿宋" w:hAnsi="仿宋" w:eastAsia="仿宋" w:cs="AdobeSongStd-Light"/>
          <w:kern w:val="0"/>
          <w:sz w:val="28"/>
          <w:szCs w:val="28"/>
        </w:rPr>
        <w:t>研究生阶段分流培养，由</w:t>
      </w:r>
      <w:r>
        <w:rPr>
          <w:rFonts w:hint="eastAsia" w:ascii="仿宋" w:hAnsi="仿宋" w:eastAsia="仿宋"/>
          <w:sz w:val="28"/>
          <w:szCs w:val="28"/>
        </w:rPr>
        <w:t>数学科学学院、陈省身数学研究所、组合数学中心、统计与数据科学学院、计算机学院、网络空间安全学院、人工智能学院承担。</w:t>
      </w:r>
      <w:r>
        <w:rPr>
          <w:rFonts w:hint="eastAsia" w:ascii="仿宋" w:hAnsi="仿宋" w:eastAsia="仿宋" w:cs="Times New Roman"/>
          <w:sz w:val="28"/>
          <w:szCs w:val="28"/>
        </w:rPr>
        <w:t>准予毕业的学分及修读等要求，学位授予的标准和授予的学位</w:t>
      </w:r>
      <w:r>
        <w:rPr>
          <w:rFonts w:hint="eastAsia" w:ascii="仿宋" w:hAnsi="仿宋" w:eastAsia="仿宋"/>
          <w:sz w:val="28"/>
          <w:szCs w:val="28"/>
        </w:rPr>
        <w:t>如下。</w:t>
      </w:r>
    </w:p>
    <w:p>
      <w:pPr>
        <w:widowControl/>
        <w:spacing w:line="360" w:lineRule="auto"/>
        <w:ind w:firstLine="694" w:firstLineChars="248"/>
        <w:jc w:val="left"/>
        <w:rPr>
          <w:rFonts w:ascii="仿宋" w:hAnsi="仿宋" w:eastAsia="仿宋" w:cs="Times New Roman"/>
          <w:sz w:val="28"/>
          <w:szCs w:val="28"/>
        </w:rPr>
      </w:pPr>
      <w:r>
        <w:rPr>
          <w:rFonts w:hint="eastAsia" w:ascii="仿宋" w:hAnsi="仿宋" w:eastAsia="仿宋"/>
          <w:sz w:val="28"/>
          <w:szCs w:val="28"/>
        </w:rPr>
        <w:t>数学科学学院、陈省身数学研究所、组合数学中心</w:t>
      </w:r>
      <w:r>
        <w:rPr>
          <w:rFonts w:hint="eastAsia" w:ascii="仿宋" w:hAnsi="仿宋" w:eastAsia="仿宋" w:cs="Times New Roman"/>
          <w:sz w:val="28"/>
          <w:szCs w:val="28"/>
        </w:rPr>
        <w:t>直博生毕业要求课程总学分不少于40学分，其中校级公共必修课</w:t>
      </w:r>
      <w:r>
        <w:rPr>
          <w:rFonts w:ascii="仿宋" w:hAnsi="仿宋" w:eastAsia="仿宋" w:cs="Times New Roman"/>
          <w:sz w:val="28"/>
          <w:szCs w:val="28"/>
        </w:rPr>
        <w:t>4</w:t>
      </w:r>
      <w:r>
        <w:rPr>
          <w:rFonts w:hint="eastAsia" w:ascii="仿宋" w:hAnsi="仿宋" w:eastAsia="仿宋" w:cs="Times New Roman"/>
          <w:sz w:val="28"/>
          <w:szCs w:val="28"/>
        </w:rPr>
        <w:t>学分，专业必修课不少于14学分，专业选修课不少于14学分。</w:t>
      </w:r>
      <w:r>
        <w:rPr>
          <w:rFonts w:ascii="仿宋" w:hAnsi="仿宋" w:eastAsia="仿宋" w:cs="Times New Roman"/>
          <w:sz w:val="28"/>
          <w:szCs w:val="28"/>
        </w:rPr>
        <w:t>博士生在学期间，撰写学位论文是对其科研能力的全面训练，学位论文是衡量其综合能力和能否获得学位的重要依据。</w:t>
      </w:r>
      <w:r>
        <w:rPr>
          <w:rFonts w:hint="eastAsia" w:ascii="仿宋" w:hAnsi="仿宋" w:eastAsia="仿宋" w:cs="Times New Roman"/>
          <w:sz w:val="28"/>
          <w:szCs w:val="28"/>
        </w:rPr>
        <w:t>直博生完成培养方案规定的课程学习、达到所在学院论文发表的要求，并通过博士学位论文答辩，授予理学博士学位。</w:t>
      </w:r>
    </w:p>
    <w:p>
      <w:pPr>
        <w:widowControl/>
        <w:spacing w:line="360" w:lineRule="auto"/>
        <w:ind w:firstLine="694" w:firstLineChars="248"/>
        <w:jc w:val="left"/>
        <w:rPr>
          <w:rFonts w:ascii="仿宋" w:hAnsi="仿宋" w:eastAsia="仿宋" w:cs="Times New Roman"/>
          <w:sz w:val="28"/>
          <w:szCs w:val="28"/>
        </w:rPr>
      </w:pPr>
      <w:r>
        <w:rPr>
          <w:rFonts w:hint="eastAsia" w:ascii="仿宋" w:hAnsi="仿宋" w:eastAsia="仿宋" w:cs="Times New Roman"/>
          <w:sz w:val="28"/>
          <w:szCs w:val="28"/>
        </w:rPr>
        <w:t>统计学直博生毕业要求课程总学分不少于3</w:t>
      </w:r>
      <w:r>
        <w:rPr>
          <w:rFonts w:ascii="仿宋" w:hAnsi="仿宋" w:eastAsia="仿宋" w:cs="Times New Roman"/>
          <w:sz w:val="28"/>
          <w:szCs w:val="28"/>
        </w:rPr>
        <w:t>8</w:t>
      </w:r>
      <w:r>
        <w:rPr>
          <w:rFonts w:hint="eastAsia" w:ascii="仿宋" w:hAnsi="仿宋" w:eastAsia="仿宋" w:cs="Times New Roman"/>
          <w:sz w:val="28"/>
          <w:szCs w:val="28"/>
        </w:rPr>
        <w:t>学分，其中校级公共必修课</w:t>
      </w:r>
      <w:r>
        <w:rPr>
          <w:rFonts w:ascii="仿宋" w:hAnsi="仿宋" w:eastAsia="仿宋" w:cs="Times New Roman"/>
          <w:sz w:val="28"/>
          <w:szCs w:val="28"/>
        </w:rPr>
        <w:t>4</w:t>
      </w:r>
      <w:r>
        <w:rPr>
          <w:rFonts w:hint="eastAsia" w:ascii="仿宋" w:hAnsi="仿宋" w:eastAsia="仿宋" w:cs="Times New Roman"/>
          <w:sz w:val="28"/>
          <w:szCs w:val="28"/>
        </w:rPr>
        <w:t>学分，专业必修课不少于14学分。博士学位论文是为申请博士学位而撰写的学术论文，是评判学位申请者学术水平的主要依据，也是学位申请者获得博士学位的必要条件之一。直博生完成培养方案规定的课程学习、达到所在学院论文发表的要求，并通过博士学位论文答辩，授予理学博士学位。</w:t>
      </w:r>
    </w:p>
    <w:p>
      <w:pPr>
        <w:widowControl/>
        <w:spacing w:line="360" w:lineRule="auto"/>
        <w:ind w:firstLine="694" w:firstLineChars="248"/>
        <w:jc w:val="left"/>
        <w:rPr>
          <w:rFonts w:ascii="仿宋" w:hAnsi="仿宋" w:eastAsia="仿宋" w:cs="Times New Roman"/>
          <w:sz w:val="28"/>
          <w:szCs w:val="28"/>
        </w:rPr>
      </w:pPr>
      <w:r>
        <w:rPr>
          <w:rFonts w:hint="eastAsia" w:ascii="仿宋" w:hAnsi="仿宋" w:eastAsia="仿宋"/>
          <w:sz w:val="28"/>
          <w:szCs w:val="28"/>
        </w:rPr>
        <w:t>计算机科学与技术、</w:t>
      </w:r>
      <w:r>
        <w:rPr>
          <w:rFonts w:hint="eastAsia" w:ascii="Times New Roman" w:hAnsi="Times New Roman" w:eastAsia="仿宋_GB2312" w:cs="Times New Roman"/>
          <w:sz w:val="28"/>
          <w:szCs w:val="28"/>
        </w:rPr>
        <w:t>网络空间安全</w:t>
      </w:r>
      <w:r>
        <w:rPr>
          <w:rFonts w:hint="eastAsia" w:ascii="仿宋" w:hAnsi="仿宋" w:eastAsia="仿宋"/>
          <w:sz w:val="28"/>
          <w:szCs w:val="28"/>
        </w:rPr>
        <w:t>博士生</w:t>
      </w:r>
      <w:r>
        <w:rPr>
          <w:rFonts w:hint="eastAsia" w:ascii="仿宋" w:hAnsi="仿宋" w:eastAsia="仿宋" w:cs="Times New Roman"/>
          <w:sz w:val="28"/>
          <w:szCs w:val="28"/>
        </w:rPr>
        <w:t>毕业要求总学分不少于39学分，其中校级公共必修课5学分，专业必修课不少于17学分。第一外国语为小语种的博士研究生，第二外国语必选二外英语</w:t>
      </w:r>
      <w:r>
        <w:rPr>
          <w:rFonts w:ascii="仿宋" w:hAnsi="仿宋" w:eastAsia="仿宋" w:cs="Times New Roman"/>
          <w:sz w:val="28"/>
          <w:szCs w:val="28"/>
        </w:rPr>
        <w:t>。</w:t>
      </w:r>
      <w:r>
        <w:rPr>
          <w:rFonts w:hint="eastAsia" w:ascii="仿宋" w:hAnsi="仿宋" w:eastAsia="仿宋" w:cs="Times New Roman"/>
          <w:sz w:val="28"/>
          <w:szCs w:val="28"/>
        </w:rPr>
        <w:t>直博生完成培养方案规定的课程学习、达到所在学院论文发表的要求，并通过博士学位论文答辩，授予工学博士学位。</w:t>
      </w:r>
    </w:p>
    <w:p>
      <w:pPr>
        <w:widowControl/>
        <w:spacing w:line="360" w:lineRule="auto"/>
        <w:ind w:firstLine="560" w:firstLineChars="200"/>
        <w:jc w:val="left"/>
        <w:rPr>
          <w:rFonts w:ascii="仿宋" w:hAnsi="仿宋" w:eastAsia="仿宋" w:cs="Times New Roman"/>
          <w:sz w:val="28"/>
          <w:szCs w:val="28"/>
        </w:rPr>
      </w:pPr>
      <w:r>
        <w:rPr>
          <w:rFonts w:hint="eastAsia" w:ascii="仿宋" w:hAnsi="仿宋" w:eastAsia="仿宋"/>
          <w:sz w:val="28"/>
          <w:szCs w:val="28"/>
        </w:rPr>
        <w:t>人工智能直博生毕业要求</w:t>
      </w:r>
      <w:r>
        <w:rPr>
          <w:rFonts w:hint="eastAsia" w:ascii="仿宋" w:hAnsi="仿宋" w:eastAsia="仿宋" w:cs="Times New Roman"/>
          <w:sz w:val="28"/>
          <w:szCs w:val="28"/>
        </w:rPr>
        <w:t>课程总学分不少于3</w:t>
      </w:r>
      <w:r>
        <w:rPr>
          <w:rFonts w:ascii="仿宋" w:hAnsi="仿宋" w:eastAsia="仿宋" w:cs="Times New Roman"/>
          <w:sz w:val="28"/>
          <w:szCs w:val="28"/>
        </w:rPr>
        <w:t>8</w:t>
      </w:r>
      <w:r>
        <w:rPr>
          <w:rFonts w:hint="eastAsia" w:ascii="仿宋" w:hAnsi="仿宋" w:eastAsia="仿宋" w:cs="Times New Roman"/>
          <w:sz w:val="28"/>
          <w:szCs w:val="28"/>
        </w:rPr>
        <w:t>学分，其中校级公共必修课</w:t>
      </w:r>
      <w:r>
        <w:rPr>
          <w:rFonts w:ascii="仿宋" w:hAnsi="仿宋" w:eastAsia="仿宋" w:cs="Times New Roman"/>
          <w:sz w:val="28"/>
          <w:szCs w:val="28"/>
        </w:rPr>
        <w:t>4</w:t>
      </w:r>
      <w:r>
        <w:rPr>
          <w:rFonts w:hint="eastAsia" w:ascii="仿宋" w:hAnsi="仿宋" w:eastAsia="仿宋" w:cs="Times New Roman"/>
          <w:sz w:val="28"/>
          <w:szCs w:val="28"/>
        </w:rPr>
        <w:t>学分，专业必修课不少于14学分，专业选修课不少于20学分</w:t>
      </w:r>
      <w:r>
        <w:rPr>
          <w:rFonts w:hint="eastAsia" w:ascii="仿宋" w:hAnsi="仿宋" w:eastAsia="仿宋"/>
          <w:sz w:val="28"/>
          <w:szCs w:val="28"/>
        </w:rPr>
        <w:t>。</w:t>
      </w:r>
      <w:r>
        <w:rPr>
          <w:rFonts w:hint="eastAsia" w:ascii="仿宋" w:hAnsi="仿宋" w:eastAsia="仿宋" w:cs="Times New Roman"/>
          <w:sz w:val="28"/>
          <w:szCs w:val="28"/>
        </w:rPr>
        <w:t>直博生完成培养方案规定的课程学习、达到所在学院论文发表的要求，并通过博士学位论文答辩，授予工学博士学位。</w:t>
      </w:r>
    </w:p>
    <w:p>
      <w:pPr>
        <w:spacing w:line="360" w:lineRule="auto"/>
        <w:rPr>
          <w:rFonts w:ascii="黑体" w:hAnsi="黑体" w:eastAsia="黑体" w:cs="Times New Roman"/>
          <w:b/>
          <w:sz w:val="30"/>
          <w:szCs w:val="30"/>
        </w:rPr>
      </w:pPr>
      <w:r>
        <w:rPr>
          <w:rFonts w:ascii="黑体" w:hAnsi="黑体" w:eastAsia="黑体" w:cs="Times New Roman"/>
          <w:b/>
          <w:sz w:val="30"/>
          <w:szCs w:val="30"/>
        </w:rPr>
        <w:t>四、</w:t>
      </w:r>
      <w:r>
        <w:rPr>
          <w:rFonts w:hint="eastAsia" w:ascii="黑体" w:hAnsi="黑体" w:eastAsia="黑体" w:cs="Times New Roman"/>
          <w:b/>
          <w:sz w:val="30"/>
          <w:szCs w:val="30"/>
        </w:rPr>
        <w:t>培养方式</w:t>
      </w:r>
    </w:p>
    <w:p>
      <w:pPr>
        <w:spacing w:line="360" w:lineRule="auto"/>
        <w:rPr>
          <w:rFonts w:ascii="仿宋" w:hAnsi="仿宋" w:eastAsia="仿宋"/>
          <w:b/>
          <w:sz w:val="28"/>
          <w:szCs w:val="28"/>
        </w:rPr>
      </w:pPr>
      <w:r>
        <w:rPr>
          <w:rFonts w:hint="eastAsia" w:ascii="仿宋" w:hAnsi="仿宋" w:eastAsia="仿宋" w:cs="Times New Roman"/>
          <w:b/>
          <w:sz w:val="28"/>
          <w:szCs w:val="28"/>
        </w:rPr>
        <w:t>（一）理念与思路</w:t>
      </w:r>
    </w:p>
    <w:p>
      <w:pPr>
        <w:adjustRightInd w:val="0"/>
        <w:snapToGrid w:val="0"/>
        <w:spacing w:line="360" w:lineRule="auto"/>
        <w:ind w:firstLine="560" w:firstLineChars="200"/>
        <w:rPr>
          <w:rFonts w:ascii="仿宋" w:hAnsi="仿宋" w:eastAsia="仿宋" w:cs="黑体"/>
          <w:sz w:val="28"/>
          <w:szCs w:val="28"/>
        </w:rPr>
      </w:pPr>
      <w:r>
        <w:rPr>
          <w:rFonts w:hint="eastAsia" w:ascii="仿宋" w:hAnsi="仿宋" w:eastAsia="仿宋" w:cs="Times New Roman"/>
          <w:sz w:val="28"/>
          <w:szCs w:val="28"/>
        </w:rPr>
        <w:t>南开大学数学</w:t>
      </w:r>
      <w:r>
        <w:rPr>
          <w:rFonts w:ascii="仿宋" w:hAnsi="仿宋" w:eastAsia="仿宋" w:cs="Times New Roman"/>
          <w:sz w:val="28"/>
          <w:szCs w:val="28"/>
        </w:rPr>
        <w:t>学科</w:t>
      </w:r>
      <w:r>
        <w:rPr>
          <w:rFonts w:hint="eastAsia" w:ascii="仿宋" w:hAnsi="仿宋" w:eastAsia="仿宋" w:cs="Times New Roman"/>
          <w:sz w:val="28"/>
          <w:szCs w:val="28"/>
        </w:rPr>
        <w:t>将继续秉承知识、能力、素质综合协调发展，特别注重能力培养和素质教育的人才培养模式，从小班化教学、科学</w:t>
      </w:r>
      <w:r>
        <w:rPr>
          <w:rFonts w:ascii="仿宋" w:hAnsi="仿宋" w:eastAsia="仿宋" w:cs="Times New Roman"/>
          <w:sz w:val="28"/>
          <w:szCs w:val="28"/>
        </w:rPr>
        <w:t>选才鉴才、本博</w:t>
      </w:r>
      <w:r>
        <w:rPr>
          <w:rFonts w:hint="eastAsia" w:ascii="仿宋" w:hAnsi="仿宋" w:eastAsia="仿宋" w:cs="Times New Roman"/>
          <w:sz w:val="28"/>
          <w:szCs w:val="28"/>
        </w:rPr>
        <w:t>任务</w:t>
      </w:r>
      <w:r>
        <w:rPr>
          <w:rFonts w:ascii="仿宋" w:hAnsi="仿宋" w:eastAsia="仿宋" w:cs="Times New Roman"/>
          <w:sz w:val="28"/>
          <w:szCs w:val="28"/>
        </w:rPr>
        <w:t>培养</w:t>
      </w:r>
      <w:r>
        <w:rPr>
          <w:rFonts w:hint="eastAsia" w:ascii="仿宋" w:hAnsi="仿宋" w:eastAsia="仿宋" w:cs="Times New Roman"/>
          <w:sz w:val="28"/>
          <w:szCs w:val="28"/>
        </w:rPr>
        <w:t>制</w:t>
      </w:r>
      <w:r>
        <w:rPr>
          <w:rFonts w:ascii="仿宋" w:hAnsi="仿宋" w:eastAsia="仿宋" w:cs="Times New Roman"/>
          <w:sz w:val="28"/>
          <w:szCs w:val="28"/>
        </w:rPr>
        <w:t>、</w:t>
      </w:r>
      <w:r>
        <w:rPr>
          <w:rFonts w:hint="eastAsia" w:ascii="仿宋" w:hAnsi="仿宋" w:eastAsia="仿宋" w:cs="Times New Roman"/>
          <w:sz w:val="28"/>
          <w:szCs w:val="28"/>
        </w:rPr>
        <w:t>导师</w:t>
      </w:r>
      <w:r>
        <w:rPr>
          <w:rFonts w:ascii="仿宋" w:hAnsi="仿宋" w:eastAsia="仿宋" w:cs="Times New Roman"/>
          <w:sz w:val="28"/>
          <w:szCs w:val="28"/>
        </w:rPr>
        <w:t>团队指导、促进交叉通融、国际化培养</w:t>
      </w:r>
      <w:r>
        <w:rPr>
          <w:rFonts w:hint="eastAsia" w:ascii="仿宋" w:hAnsi="仿宋" w:eastAsia="仿宋" w:cs="Times New Roman"/>
          <w:sz w:val="28"/>
          <w:szCs w:val="28"/>
        </w:rPr>
        <w:t>等</w:t>
      </w:r>
      <w:r>
        <w:rPr>
          <w:rFonts w:ascii="仿宋" w:hAnsi="仿宋" w:eastAsia="仿宋" w:cs="Times New Roman"/>
          <w:sz w:val="28"/>
          <w:szCs w:val="28"/>
        </w:rPr>
        <w:t>方面，</w:t>
      </w:r>
      <w:r>
        <w:rPr>
          <w:rFonts w:hint="eastAsia" w:ascii="仿宋" w:hAnsi="仿宋" w:eastAsia="仿宋" w:cs="黑体"/>
          <w:sz w:val="28"/>
          <w:szCs w:val="28"/>
        </w:rPr>
        <w:t>推进数学</w:t>
      </w:r>
      <w:r>
        <w:rPr>
          <w:rFonts w:ascii="仿宋" w:hAnsi="仿宋" w:eastAsia="仿宋" w:cs="黑体"/>
          <w:sz w:val="28"/>
          <w:szCs w:val="28"/>
        </w:rPr>
        <w:t>强基计划人才</w:t>
      </w:r>
      <w:r>
        <w:rPr>
          <w:rFonts w:hint="eastAsia" w:ascii="仿宋" w:hAnsi="仿宋" w:eastAsia="仿宋" w:cs="黑体"/>
          <w:sz w:val="28"/>
          <w:szCs w:val="28"/>
        </w:rPr>
        <w:t>全面培养。</w:t>
      </w:r>
    </w:p>
    <w:p>
      <w:pPr>
        <w:adjustRightInd w:val="0"/>
        <w:snapToGrid w:val="0"/>
        <w:spacing w:line="360" w:lineRule="auto"/>
        <w:rPr>
          <w:rFonts w:ascii="仿宋" w:hAnsi="仿宋" w:eastAsia="仿宋" w:cs="黑体"/>
          <w:b/>
          <w:sz w:val="28"/>
          <w:szCs w:val="28"/>
        </w:rPr>
      </w:pPr>
      <w:r>
        <w:rPr>
          <w:rFonts w:hint="eastAsia" w:ascii="仿宋" w:hAnsi="仿宋" w:eastAsia="仿宋" w:cs="黑体"/>
          <w:b/>
          <w:sz w:val="28"/>
          <w:szCs w:val="28"/>
        </w:rPr>
        <w:t>（二）机制和举措</w:t>
      </w:r>
    </w:p>
    <w:p>
      <w:pPr>
        <w:adjustRightInd w:val="0"/>
        <w:snapToGrid w:val="0"/>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1．数学试点班培养模式，精心培养</w:t>
      </w:r>
    </w:p>
    <w:p>
      <w:pPr>
        <w:adjustRightInd w:val="0"/>
        <w:snapToGrid w:val="0"/>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自1986年陈省身先生主持创立“数学试点班”以来，南开数学人才培养历经3次跃升。在数学人才培养体系、基础课程建设、教学团队、教材编订等诸多方面，不断改革探索，取得了突出效果，连续五届获得国家级教学成果奖。数学基地（试点班-基地班-伯苓班）共招收33届学生，培养出上千名数学优秀人才。南开数学基地培养始终坚持小班化。为了确保良好教学效果和教学质量，强基计划本科阶段将延续“数学试点班”人才培养模式，每届招生人数为30人，聘请国内外一流教师单独授课，小班化教学，精心培养。</w:t>
      </w:r>
    </w:p>
    <w:p>
      <w:pPr>
        <w:adjustRightInd w:val="0"/>
        <w:snapToGrid w:val="0"/>
        <w:spacing w:line="360" w:lineRule="auto"/>
        <w:ind w:firstLine="562" w:firstLineChars="200"/>
        <w:rPr>
          <w:rFonts w:ascii="仿宋" w:hAnsi="仿宋" w:eastAsia="仿宋" w:cs="黑体"/>
          <w:sz w:val="28"/>
          <w:szCs w:val="28"/>
        </w:rPr>
      </w:pPr>
      <w:r>
        <w:rPr>
          <w:rFonts w:hint="eastAsia" w:ascii="仿宋" w:hAnsi="仿宋" w:eastAsia="仿宋" w:cs="Times New Roman"/>
          <w:b/>
          <w:sz w:val="28"/>
          <w:szCs w:val="28"/>
        </w:rPr>
        <w:t>2．科学选才鉴才，</w:t>
      </w:r>
      <w:r>
        <w:rPr>
          <w:rFonts w:ascii="仿宋" w:hAnsi="仿宋" w:eastAsia="仿宋" w:cs="Times New Roman"/>
          <w:b/>
          <w:sz w:val="28"/>
          <w:szCs w:val="28"/>
        </w:rPr>
        <w:t>不拘一格选</w:t>
      </w:r>
      <w:r>
        <w:rPr>
          <w:rFonts w:hint="eastAsia" w:ascii="仿宋" w:hAnsi="仿宋" w:eastAsia="仿宋" w:cs="Times New Roman"/>
          <w:b/>
          <w:sz w:val="28"/>
          <w:szCs w:val="28"/>
        </w:rPr>
        <w:t>拔</w:t>
      </w:r>
      <w:r>
        <w:rPr>
          <w:rFonts w:ascii="仿宋" w:hAnsi="仿宋" w:eastAsia="仿宋" w:cs="Times New Roman"/>
          <w:b/>
          <w:sz w:val="28"/>
          <w:szCs w:val="28"/>
        </w:rPr>
        <w:t>人才</w:t>
      </w:r>
    </w:p>
    <w:p>
      <w:pPr>
        <w:autoSpaceDE w:val="0"/>
        <w:autoSpaceDN w:val="0"/>
        <w:adjustRightInd w:val="0"/>
        <w:spacing w:after="200" w:line="276" w:lineRule="auto"/>
        <w:ind w:firstLine="560" w:firstLineChars="200"/>
        <w:jc w:val="left"/>
        <w:rPr>
          <w:rFonts w:ascii="仿宋" w:hAnsi="仿宋" w:eastAsia="仿宋"/>
          <w:sz w:val="28"/>
          <w:szCs w:val="28"/>
        </w:rPr>
      </w:pPr>
      <w:r>
        <w:rPr>
          <w:rFonts w:hint="eastAsia" w:ascii="仿宋" w:hAnsi="仿宋" w:eastAsia="仿宋" w:cs="Times New Roman"/>
          <w:sz w:val="28"/>
          <w:szCs w:val="28"/>
        </w:rPr>
        <w:t>数学</w:t>
      </w:r>
      <w:r>
        <w:rPr>
          <w:rFonts w:ascii="仿宋" w:hAnsi="仿宋" w:eastAsia="仿宋" w:cs="Times New Roman"/>
          <w:sz w:val="28"/>
          <w:szCs w:val="28"/>
        </w:rPr>
        <w:t>强基计划</w:t>
      </w:r>
      <w:r>
        <w:rPr>
          <w:rFonts w:hint="eastAsia" w:ascii="仿宋" w:hAnsi="仿宋" w:eastAsia="仿宋" w:cs="Times New Roman"/>
          <w:sz w:val="28"/>
          <w:szCs w:val="28"/>
        </w:rPr>
        <w:t>采取多阶段动态</w:t>
      </w:r>
      <w:r>
        <w:rPr>
          <w:rFonts w:ascii="仿宋" w:hAnsi="仿宋" w:eastAsia="仿宋" w:cs="Times New Roman"/>
          <w:sz w:val="28"/>
          <w:szCs w:val="28"/>
        </w:rPr>
        <w:t>进出机制</w:t>
      </w:r>
      <w:r>
        <w:rPr>
          <w:rFonts w:hint="eastAsia" w:ascii="仿宋" w:hAnsi="仿宋" w:eastAsia="仿宋" w:cs="Times New Roman"/>
          <w:sz w:val="28"/>
          <w:szCs w:val="28"/>
        </w:rPr>
        <w:t>，合理</w:t>
      </w:r>
      <w:r>
        <w:rPr>
          <w:rFonts w:ascii="仿宋" w:hAnsi="仿宋" w:eastAsia="仿宋" w:cs="Times New Roman"/>
          <w:sz w:val="28"/>
          <w:szCs w:val="28"/>
        </w:rPr>
        <w:t>科学分流</w:t>
      </w:r>
      <w:r>
        <w:rPr>
          <w:rFonts w:hint="eastAsia" w:ascii="仿宋" w:hAnsi="仿宋" w:eastAsia="仿宋" w:cs="Times New Roman"/>
          <w:sz w:val="28"/>
          <w:szCs w:val="28"/>
        </w:rPr>
        <w:t>。</w:t>
      </w:r>
      <w:r>
        <w:rPr>
          <w:rFonts w:hint="eastAsia" w:ascii="仿宋" w:hAnsi="仿宋" w:eastAsia="仿宋"/>
          <w:sz w:val="28"/>
          <w:szCs w:val="28"/>
        </w:rPr>
        <w:t>第一学年、第二学年定期举行强基计划选拔考试，</w:t>
      </w:r>
      <w:r>
        <w:rPr>
          <w:rFonts w:hint="eastAsia" w:ascii="仿宋" w:eastAsia="仿宋" w:cs="仿宋"/>
          <w:sz w:val="28"/>
          <w:szCs w:val="28"/>
          <w:lang w:val="zh-CN"/>
        </w:rPr>
        <w:t>依据学生选拔考试成绩、学术表现以及综合能力等多方面考察鉴定，进行动态调整</w:t>
      </w:r>
      <w:r>
        <w:rPr>
          <w:rFonts w:hint="eastAsia" w:ascii="宋体" w:eastAsia="宋体" w:cs="宋体"/>
          <w:kern w:val="0"/>
          <w:sz w:val="22"/>
          <w:lang w:val="zh-CN"/>
        </w:rPr>
        <w:t>。</w:t>
      </w:r>
      <w:r>
        <w:rPr>
          <w:rFonts w:hint="eastAsia" w:ascii="仿宋" w:hAnsi="仿宋" w:eastAsia="仿宋"/>
          <w:sz w:val="28"/>
          <w:szCs w:val="28"/>
        </w:rPr>
        <w:t>第四学年学生和导师进行双向选择，按照直博生培养方案进行研究生课程学习。</w:t>
      </w:r>
      <w:r>
        <w:rPr>
          <w:rFonts w:ascii="仿宋" w:hAnsi="仿宋" w:eastAsia="仿宋" w:cs="Times New Roman"/>
          <w:sz w:val="28"/>
          <w:szCs w:val="28"/>
        </w:rPr>
        <w:t>多阶段动态进出机制</w:t>
      </w:r>
      <w:r>
        <w:rPr>
          <w:rFonts w:hint="eastAsia" w:ascii="仿宋" w:hAnsi="仿宋" w:eastAsia="仿宋" w:cs="Times New Roman"/>
          <w:sz w:val="28"/>
          <w:szCs w:val="28"/>
        </w:rPr>
        <w:t>，确保强基计划学生生源质量持续</w:t>
      </w:r>
      <w:r>
        <w:rPr>
          <w:rFonts w:ascii="仿宋" w:hAnsi="仿宋" w:eastAsia="仿宋" w:cs="Times New Roman"/>
          <w:sz w:val="28"/>
          <w:szCs w:val="28"/>
        </w:rPr>
        <w:t>优质</w:t>
      </w:r>
      <w:r>
        <w:rPr>
          <w:rFonts w:hint="eastAsia" w:ascii="仿宋" w:hAnsi="仿宋" w:eastAsia="仿宋" w:cs="Times New Roman"/>
          <w:sz w:val="28"/>
          <w:szCs w:val="28"/>
        </w:rPr>
        <w:t>。</w:t>
      </w:r>
    </w:p>
    <w:p>
      <w:pPr>
        <w:spacing w:line="360" w:lineRule="auto"/>
        <w:ind w:firstLine="562" w:firstLineChars="200"/>
        <w:rPr>
          <w:rFonts w:ascii="仿宋" w:hAnsi="仿宋" w:eastAsia="仿宋" w:cs="仿宋_GB2312"/>
          <w:b/>
          <w:sz w:val="28"/>
          <w:szCs w:val="28"/>
        </w:rPr>
      </w:pPr>
      <w:r>
        <w:rPr>
          <w:rFonts w:hint="eastAsia" w:ascii="仿宋" w:hAnsi="仿宋" w:eastAsia="仿宋" w:cs="Times New Roman"/>
          <w:b/>
          <w:sz w:val="28"/>
          <w:szCs w:val="28"/>
        </w:rPr>
        <w:t>3．强化使命</w:t>
      </w:r>
      <w:r>
        <w:rPr>
          <w:rFonts w:ascii="仿宋" w:hAnsi="仿宋" w:eastAsia="仿宋" w:cs="Times New Roman"/>
          <w:b/>
          <w:sz w:val="28"/>
          <w:szCs w:val="28"/>
        </w:rPr>
        <w:t>驱动</w:t>
      </w:r>
      <w:r>
        <w:rPr>
          <w:rFonts w:hint="eastAsia" w:ascii="仿宋" w:hAnsi="仿宋" w:eastAsia="仿宋" w:cs="Times New Roman"/>
          <w:b/>
          <w:sz w:val="28"/>
          <w:szCs w:val="28"/>
        </w:rPr>
        <w:t>，</w:t>
      </w:r>
      <w:r>
        <w:rPr>
          <w:rFonts w:hint="eastAsia" w:ascii="仿宋" w:hAnsi="仿宋" w:eastAsia="仿宋" w:cs="仿宋_GB2312"/>
          <w:b/>
          <w:sz w:val="28"/>
          <w:szCs w:val="28"/>
        </w:rPr>
        <w:t>突出任务制</w:t>
      </w:r>
      <w:r>
        <w:rPr>
          <w:rFonts w:ascii="仿宋" w:hAnsi="仿宋" w:eastAsia="仿宋" w:cs="仿宋_GB2312"/>
          <w:b/>
          <w:sz w:val="28"/>
          <w:szCs w:val="28"/>
        </w:rPr>
        <w:t>培养</w:t>
      </w:r>
    </w:p>
    <w:p>
      <w:pPr>
        <w:spacing w:line="360" w:lineRule="auto"/>
        <w:ind w:firstLine="615"/>
        <w:rPr>
          <w:rFonts w:ascii="仿宋" w:hAnsi="仿宋" w:eastAsia="仿宋" w:cs="仿宋_GB2312"/>
          <w:sz w:val="28"/>
          <w:szCs w:val="28"/>
        </w:rPr>
      </w:pPr>
      <w:r>
        <w:rPr>
          <w:rFonts w:hint="eastAsia" w:ascii="仿宋" w:hAnsi="仿宋" w:eastAsia="仿宋" w:cs="仿宋_GB2312"/>
          <w:sz w:val="28"/>
          <w:szCs w:val="28"/>
        </w:rPr>
        <w:t>数学，特别是理论数学，是科学研究的重要基础，对人工</w:t>
      </w:r>
      <w:r>
        <w:rPr>
          <w:rFonts w:ascii="仿宋" w:hAnsi="仿宋" w:eastAsia="仿宋" w:cs="仿宋_GB2312"/>
          <w:sz w:val="28"/>
          <w:szCs w:val="28"/>
        </w:rPr>
        <w:t>智能、信息安全</w:t>
      </w:r>
      <w:r>
        <w:rPr>
          <w:rFonts w:hint="eastAsia" w:ascii="仿宋" w:hAnsi="仿宋" w:eastAsia="仿宋" w:cs="仿宋_GB2312"/>
          <w:sz w:val="28"/>
          <w:szCs w:val="28"/>
        </w:rPr>
        <w:t>、</w:t>
      </w:r>
      <w:r>
        <w:rPr>
          <w:rFonts w:ascii="仿宋" w:hAnsi="仿宋" w:eastAsia="仿宋" w:cs="仿宋_GB2312"/>
          <w:sz w:val="28"/>
          <w:szCs w:val="28"/>
        </w:rPr>
        <w:t>大数据、生物医学等</w:t>
      </w:r>
      <w:r>
        <w:rPr>
          <w:rFonts w:hint="eastAsia" w:ascii="仿宋" w:hAnsi="仿宋" w:eastAsia="仿宋" w:cs="仿宋_GB2312"/>
          <w:sz w:val="28"/>
          <w:szCs w:val="28"/>
        </w:rPr>
        <w:t>众多领域的发展起到重要支撑作用。</w:t>
      </w:r>
    </w:p>
    <w:p>
      <w:pPr>
        <w:spacing w:line="360" w:lineRule="auto"/>
        <w:rPr>
          <w:rFonts w:ascii="仿宋" w:hAnsi="仿宋" w:eastAsia="仿宋" w:cs="仿宋_GB2312"/>
          <w:sz w:val="28"/>
          <w:szCs w:val="28"/>
        </w:rPr>
      </w:pPr>
      <w:r>
        <w:rPr>
          <w:rFonts w:hint="eastAsia" w:ascii="仿宋" w:hAnsi="仿宋" w:eastAsia="仿宋" w:cs="仿宋_GB2312"/>
          <w:sz w:val="28"/>
          <w:szCs w:val="28"/>
        </w:rPr>
        <w:t>南开数学学科将充分发挥在基础数学、应用数学、概率论与数理统计等方面的优势，加强</w:t>
      </w:r>
      <w:r>
        <w:rPr>
          <w:rFonts w:ascii="仿宋" w:hAnsi="仿宋" w:eastAsia="仿宋" w:cs="仿宋_GB2312"/>
          <w:sz w:val="28"/>
          <w:szCs w:val="28"/>
        </w:rPr>
        <w:t>与</w:t>
      </w:r>
      <w:r>
        <w:rPr>
          <w:rFonts w:hint="eastAsia" w:ascii="仿宋" w:hAnsi="仿宋" w:eastAsia="仿宋" w:cs="Times New Roman"/>
          <w:sz w:val="28"/>
          <w:szCs w:val="28"/>
        </w:rPr>
        <w:t>统计学科</w:t>
      </w:r>
      <w:r>
        <w:rPr>
          <w:rFonts w:ascii="仿宋" w:hAnsi="仿宋" w:eastAsia="仿宋" w:cs="Times New Roman"/>
          <w:sz w:val="28"/>
          <w:szCs w:val="28"/>
        </w:rPr>
        <w:t>、</w:t>
      </w:r>
      <w:r>
        <w:rPr>
          <w:rFonts w:hint="eastAsia" w:ascii="仿宋" w:hAnsi="仿宋" w:eastAsia="仿宋" w:cs="Times New Roman"/>
          <w:sz w:val="28"/>
          <w:szCs w:val="28"/>
        </w:rPr>
        <w:t>计算机与网络空间安全学科、人工智能学科</w:t>
      </w:r>
      <w:r>
        <w:rPr>
          <w:rFonts w:ascii="仿宋" w:hAnsi="仿宋" w:eastAsia="仿宋" w:cs="Times New Roman"/>
          <w:sz w:val="28"/>
          <w:szCs w:val="28"/>
        </w:rPr>
        <w:t>的</w:t>
      </w:r>
      <w:r>
        <w:rPr>
          <w:rFonts w:hint="eastAsia" w:ascii="仿宋" w:hAnsi="仿宋" w:eastAsia="仿宋" w:cs="Times New Roman"/>
          <w:sz w:val="28"/>
          <w:szCs w:val="28"/>
        </w:rPr>
        <w:t>有效</w:t>
      </w:r>
      <w:r>
        <w:rPr>
          <w:rFonts w:ascii="仿宋" w:hAnsi="仿宋" w:eastAsia="仿宋" w:cs="Times New Roman"/>
          <w:sz w:val="28"/>
          <w:szCs w:val="28"/>
        </w:rPr>
        <w:t>融合</w:t>
      </w:r>
      <w:r>
        <w:rPr>
          <w:rFonts w:hint="eastAsia" w:ascii="仿宋" w:hAnsi="仿宋" w:eastAsia="仿宋" w:cs="Times New Roman"/>
          <w:sz w:val="28"/>
          <w:szCs w:val="28"/>
        </w:rPr>
        <w:t>，以服务国家重大战略需求宗旨，</w:t>
      </w:r>
      <w:r>
        <w:rPr>
          <w:rFonts w:hint="eastAsia" w:ascii="仿宋" w:hAnsi="仿宋" w:eastAsia="仿宋" w:cs="仿宋_GB2312"/>
          <w:sz w:val="28"/>
          <w:szCs w:val="28"/>
        </w:rPr>
        <w:t>解决国家</w:t>
      </w:r>
      <w:r>
        <w:rPr>
          <w:rFonts w:ascii="仿宋" w:hAnsi="仿宋" w:eastAsia="仿宋" w:cs="仿宋_GB2312"/>
          <w:sz w:val="28"/>
          <w:szCs w:val="28"/>
        </w:rPr>
        <w:t>安全</w:t>
      </w:r>
      <w:r>
        <w:rPr>
          <w:rFonts w:hint="eastAsia" w:ascii="仿宋" w:hAnsi="仿宋" w:eastAsia="仿宋" w:cs="仿宋_GB2312"/>
          <w:sz w:val="28"/>
          <w:szCs w:val="28"/>
        </w:rPr>
        <w:t>、新材料研发、先进制造、网络通信及网络安全、密码学及隐私保护等领域重大问题，以高水平科技创新支撑高质量人才培养。</w:t>
      </w:r>
    </w:p>
    <w:p>
      <w:pPr>
        <w:spacing w:line="360" w:lineRule="auto"/>
        <w:ind w:firstLine="615"/>
        <w:rPr>
          <w:rFonts w:ascii="仿宋" w:hAnsi="仿宋" w:eastAsia="仿宋" w:cs="Times New Roman"/>
          <w:sz w:val="28"/>
          <w:szCs w:val="28"/>
        </w:rPr>
      </w:pPr>
      <w:r>
        <w:rPr>
          <w:rFonts w:hint="eastAsia" w:ascii="仿宋" w:hAnsi="仿宋" w:eastAsia="仿宋" w:cs="Times New Roman"/>
          <w:sz w:val="28"/>
          <w:szCs w:val="28"/>
        </w:rPr>
        <w:t>强基计划学生实行</w:t>
      </w:r>
      <w:r>
        <w:rPr>
          <w:rFonts w:ascii="仿宋" w:hAnsi="仿宋" w:eastAsia="仿宋" w:cs="Times New Roman"/>
          <w:sz w:val="28"/>
          <w:szCs w:val="28"/>
        </w:rPr>
        <w:t>本博</w:t>
      </w:r>
      <w:r>
        <w:rPr>
          <w:rFonts w:hint="eastAsia" w:ascii="仿宋" w:hAnsi="仿宋" w:eastAsia="仿宋" w:cs="Times New Roman"/>
          <w:sz w:val="28"/>
          <w:szCs w:val="28"/>
        </w:rPr>
        <w:t>衔接式</w:t>
      </w:r>
      <w:r>
        <w:rPr>
          <w:rFonts w:ascii="仿宋" w:hAnsi="仿宋" w:eastAsia="仿宋" w:cs="Times New Roman"/>
          <w:sz w:val="28"/>
          <w:szCs w:val="28"/>
        </w:rPr>
        <w:t>培养，</w:t>
      </w:r>
      <w:r>
        <w:rPr>
          <w:rFonts w:hint="eastAsia" w:ascii="仿宋" w:hAnsi="仿宋" w:eastAsia="仿宋" w:cs="Times New Roman"/>
          <w:sz w:val="28"/>
          <w:szCs w:val="28"/>
        </w:rPr>
        <w:t>从四年级开始在导师团队指导下提前进行研究生课程学习，并与导师团队开展面对面的学术探讨交流。邀请国内外相关著名专家进行短期授课与前沿讲座。围绕要解决的重大</w:t>
      </w:r>
      <w:r>
        <w:rPr>
          <w:rFonts w:ascii="仿宋" w:hAnsi="仿宋" w:eastAsia="仿宋" w:cs="Times New Roman"/>
          <w:sz w:val="28"/>
          <w:szCs w:val="28"/>
        </w:rPr>
        <w:t>前沿</w:t>
      </w:r>
      <w:r>
        <w:rPr>
          <w:rFonts w:hint="eastAsia" w:ascii="仿宋" w:hAnsi="仿宋" w:eastAsia="仿宋" w:cs="Times New Roman"/>
          <w:sz w:val="28"/>
          <w:szCs w:val="28"/>
        </w:rPr>
        <w:t>问题，确定博士生研究方向，取得重要创新性成果，培养世界一流博士人才，为我国科学家队伍培养后备力量。</w:t>
      </w:r>
    </w:p>
    <w:p>
      <w:pPr>
        <w:spacing w:line="360" w:lineRule="auto"/>
        <w:ind w:firstLine="615"/>
        <w:rPr>
          <w:rFonts w:ascii="仿宋" w:hAnsi="仿宋" w:eastAsia="仿宋" w:cs="Times New Roman"/>
          <w:b/>
          <w:sz w:val="28"/>
          <w:szCs w:val="28"/>
        </w:rPr>
      </w:pPr>
      <w:r>
        <w:rPr>
          <w:rFonts w:hint="eastAsia" w:ascii="仿宋" w:hAnsi="仿宋" w:eastAsia="仿宋" w:cs="Times New Roman"/>
          <w:b/>
          <w:sz w:val="28"/>
          <w:szCs w:val="28"/>
        </w:rPr>
        <w:t>4</w:t>
      </w:r>
      <w:r>
        <w:rPr>
          <w:rFonts w:ascii="仿宋" w:hAnsi="仿宋" w:eastAsia="仿宋" w:cs="Times New Roman"/>
          <w:b/>
          <w:sz w:val="28"/>
          <w:szCs w:val="28"/>
        </w:rPr>
        <w:t>.</w:t>
      </w:r>
      <w:r>
        <w:rPr>
          <w:rFonts w:hint="eastAsia" w:ascii="仿宋" w:hAnsi="仿宋" w:eastAsia="仿宋" w:cs="Times New Roman"/>
          <w:b/>
          <w:sz w:val="28"/>
          <w:szCs w:val="28"/>
        </w:rPr>
        <w:t>大师引领，一流导师团队指导</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相比于传统的单一导师制，强基计划学生由导师团队式指导。导师团队的负责人为中科院院士、国家杰出青年基金获得者、国家教学名师、人工智能学会首批智库专家、中国网络空间研究院的智库专家，以及其他各类高端人才。同时根据课题需要，辅以高水平国际</w:t>
      </w:r>
      <w:r>
        <w:rPr>
          <w:rFonts w:ascii="仿宋" w:hAnsi="仿宋" w:eastAsia="仿宋" w:cs="Times New Roman"/>
          <w:sz w:val="28"/>
          <w:szCs w:val="28"/>
        </w:rPr>
        <w:t>一流专家</w:t>
      </w:r>
      <w:r>
        <w:rPr>
          <w:rFonts w:hint="eastAsia" w:ascii="仿宋" w:hAnsi="仿宋" w:eastAsia="仿宋" w:cs="Times New Roman"/>
          <w:sz w:val="28"/>
          <w:szCs w:val="28"/>
        </w:rPr>
        <w:t>的校外双聘导师。随着学科每年引育领军人才，持续充实导师团队。通过每学期开设</w:t>
      </w:r>
      <w:r>
        <w:rPr>
          <w:rFonts w:ascii="仿宋" w:hAnsi="仿宋" w:eastAsia="仿宋" w:cs="Times New Roman"/>
          <w:sz w:val="28"/>
          <w:szCs w:val="28"/>
        </w:rPr>
        <w:t>讨论班，</w:t>
      </w:r>
      <w:r>
        <w:rPr>
          <w:rFonts w:hint="eastAsia" w:ascii="仿宋" w:hAnsi="仿宋" w:eastAsia="仿宋" w:cs="Times New Roman"/>
          <w:sz w:val="28"/>
          <w:szCs w:val="28"/>
        </w:rPr>
        <w:t>定期与</w:t>
      </w:r>
      <w:r>
        <w:rPr>
          <w:rFonts w:ascii="仿宋" w:hAnsi="仿宋" w:eastAsia="仿宋" w:cs="Times New Roman"/>
          <w:sz w:val="28"/>
          <w:szCs w:val="28"/>
        </w:rPr>
        <w:t>学生</w:t>
      </w:r>
      <w:r>
        <w:rPr>
          <w:rFonts w:hint="eastAsia" w:ascii="仿宋" w:hAnsi="仿宋" w:eastAsia="仿宋" w:cs="Times New Roman"/>
          <w:sz w:val="28"/>
          <w:szCs w:val="28"/>
        </w:rPr>
        <w:t>一对一见面</w:t>
      </w:r>
      <w:r>
        <w:rPr>
          <w:rFonts w:ascii="仿宋" w:hAnsi="仿宋" w:eastAsia="仿宋" w:cs="Times New Roman"/>
          <w:sz w:val="28"/>
          <w:szCs w:val="28"/>
        </w:rPr>
        <w:t>交流，</w:t>
      </w:r>
      <w:r>
        <w:rPr>
          <w:rFonts w:hint="eastAsia" w:ascii="仿宋" w:hAnsi="仿宋" w:eastAsia="仿宋" w:cs="Times New Roman"/>
          <w:sz w:val="28"/>
          <w:szCs w:val="28"/>
        </w:rPr>
        <w:t>加强</w:t>
      </w:r>
      <w:r>
        <w:rPr>
          <w:rFonts w:ascii="仿宋" w:hAnsi="仿宋" w:eastAsia="仿宋" w:cs="Times New Roman"/>
          <w:sz w:val="28"/>
          <w:szCs w:val="28"/>
        </w:rPr>
        <w:t>对</w:t>
      </w:r>
      <w:r>
        <w:rPr>
          <w:rFonts w:hint="eastAsia" w:ascii="仿宋" w:hAnsi="仿宋" w:eastAsia="仿宋" w:cs="Times New Roman"/>
          <w:sz w:val="28"/>
          <w:szCs w:val="28"/>
        </w:rPr>
        <w:t>学生的</w:t>
      </w:r>
      <w:r>
        <w:rPr>
          <w:rFonts w:ascii="仿宋" w:hAnsi="仿宋" w:eastAsia="仿宋" w:cs="Times New Roman"/>
          <w:sz w:val="28"/>
          <w:szCs w:val="28"/>
        </w:rPr>
        <w:t>学术引领和</w:t>
      </w:r>
      <w:r>
        <w:rPr>
          <w:rFonts w:hint="eastAsia" w:ascii="仿宋" w:hAnsi="仿宋" w:eastAsia="仿宋" w:cs="Times New Roman"/>
          <w:sz w:val="28"/>
          <w:szCs w:val="28"/>
        </w:rPr>
        <w:t>人生指导。每年聘请菲尔兹奖</w:t>
      </w:r>
      <w:r>
        <w:rPr>
          <w:rFonts w:ascii="仿宋" w:hAnsi="仿宋" w:eastAsia="仿宋" w:cs="Times New Roman"/>
          <w:sz w:val="28"/>
          <w:szCs w:val="28"/>
        </w:rPr>
        <w:t>获得者</w:t>
      </w:r>
      <w:r>
        <w:rPr>
          <w:rFonts w:hint="eastAsia" w:ascii="仿宋" w:hAnsi="仿宋" w:eastAsia="仿宋" w:cs="Times New Roman"/>
          <w:sz w:val="28"/>
          <w:szCs w:val="28"/>
        </w:rPr>
        <w:t>、两院院士</w:t>
      </w:r>
      <w:r>
        <w:rPr>
          <w:rFonts w:ascii="仿宋" w:hAnsi="仿宋" w:eastAsia="仿宋" w:cs="Times New Roman"/>
          <w:sz w:val="28"/>
          <w:szCs w:val="28"/>
        </w:rPr>
        <w:t>、</w:t>
      </w:r>
      <w:r>
        <w:rPr>
          <w:rFonts w:hint="eastAsia" w:ascii="仿宋" w:hAnsi="仿宋" w:eastAsia="仿宋" w:cs="Times New Roman"/>
          <w:sz w:val="28"/>
          <w:szCs w:val="28"/>
        </w:rPr>
        <w:t>国内外著名学术</w:t>
      </w:r>
      <w:r>
        <w:rPr>
          <w:rFonts w:ascii="仿宋" w:hAnsi="仿宋" w:eastAsia="仿宋" w:cs="Times New Roman"/>
          <w:sz w:val="28"/>
          <w:szCs w:val="28"/>
        </w:rPr>
        <w:t>大师、行业精英</w:t>
      </w:r>
      <w:r>
        <w:rPr>
          <w:rFonts w:hint="eastAsia" w:ascii="仿宋" w:hAnsi="仿宋" w:eastAsia="仿宋" w:cs="Times New Roman"/>
          <w:sz w:val="28"/>
          <w:szCs w:val="28"/>
        </w:rPr>
        <w:t>为</w:t>
      </w:r>
      <w:r>
        <w:rPr>
          <w:rFonts w:ascii="仿宋" w:hAnsi="仿宋" w:eastAsia="仿宋" w:cs="Times New Roman"/>
          <w:sz w:val="28"/>
          <w:szCs w:val="28"/>
        </w:rPr>
        <w:t>强基计划学生</w:t>
      </w:r>
      <w:r>
        <w:rPr>
          <w:rFonts w:hint="eastAsia" w:ascii="仿宋" w:hAnsi="仿宋" w:eastAsia="仿宋" w:cs="Times New Roman"/>
          <w:sz w:val="28"/>
          <w:szCs w:val="28"/>
        </w:rPr>
        <w:t>开设数学及</w:t>
      </w:r>
      <w:r>
        <w:rPr>
          <w:rFonts w:ascii="仿宋" w:hAnsi="仿宋" w:eastAsia="仿宋" w:cs="Times New Roman"/>
          <w:sz w:val="28"/>
          <w:szCs w:val="28"/>
        </w:rPr>
        <w:t>相关应用领域前沿选讲</w:t>
      </w:r>
      <w:r>
        <w:rPr>
          <w:rFonts w:hint="eastAsia" w:ascii="仿宋" w:hAnsi="仿宋" w:eastAsia="仿宋" w:cs="Times New Roman"/>
          <w:sz w:val="28"/>
          <w:szCs w:val="28"/>
        </w:rPr>
        <w:t>，使</w:t>
      </w:r>
      <w:r>
        <w:rPr>
          <w:rFonts w:ascii="仿宋" w:hAnsi="仿宋" w:eastAsia="仿宋" w:cs="Times New Roman"/>
          <w:sz w:val="28"/>
          <w:szCs w:val="28"/>
        </w:rPr>
        <w:t>学生</w:t>
      </w:r>
      <w:r>
        <w:rPr>
          <w:rFonts w:hint="eastAsia" w:ascii="仿宋" w:hAnsi="仿宋" w:eastAsia="仿宋" w:cs="Times New Roman"/>
          <w:sz w:val="28"/>
          <w:szCs w:val="28"/>
        </w:rPr>
        <w:t>接触</w:t>
      </w:r>
      <w:r>
        <w:rPr>
          <w:rFonts w:ascii="仿宋" w:hAnsi="仿宋" w:eastAsia="仿宋" w:cs="Times New Roman"/>
          <w:sz w:val="28"/>
          <w:szCs w:val="28"/>
        </w:rPr>
        <w:t>最前沿的</w:t>
      </w:r>
      <w:r>
        <w:rPr>
          <w:rFonts w:hint="eastAsia" w:ascii="仿宋" w:hAnsi="仿宋" w:eastAsia="仿宋" w:cs="Times New Roman"/>
          <w:sz w:val="28"/>
          <w:szCs w:val="28"/>
        </w:rPr>
        <w:t>科学技术</w:t>
      </w:r>
      <w:r>
        <w:rPr>
          <w:rFonts w:ascii="仿宋" w:hAnsi="仿宋" w:eastAsia="仿宋" w:cs="Times New Roman"/>
          <w:sz w:val="28"/>
          <w:szCs w:val="28"/>
        </w:rPr>
        <w:t>和思想文化。</w:t>
      </w:r>
    </w:p>
    <w:p>
      <w:pPr>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5</w:t>
      </w:r>
      <w:r>
        <w:rPr>
          <w:rFonts w:ascii="仿宋" w:hAnsi="仿宋" w:eastAsia="仿宋" w:cs="Times New Roman"/>
          <w:b/>
          <w:sz w:val="28"/>
          <w:szCs w:val="28"/>
        </w:rPr>
        <w:t>.</w:t>
      </w:r>
      <w:r>
        <w:rPr>
          <w:rFonts w:hint="eastAsia" w:ascii="仿宋" w:hAnsi="仿宋" w:eastAsia="仿宋" w:cs="Times New Roman"/>
          <w:b/>
          <w:sz w:val="28"/>
          <w:szCs w:val="28"/>
        </w:rPr>
        <w:t>促进交叉融合，提升</w:t>
      </w:r>
      <w:r>
        <w:rPr>
          <w:rFonts w:ascii="仿宋" w:hAnsi="仿宋" w:eastAsia="仿宋" w:cs="Times New Roman"/>
          <w:b/>
          <w:sz w:val="28"/>
          <w:szCs w:val="28"/>
        </w:rPr>
        <w:t>综合</w:t>
      </w:r>
      <w:r>
        <w:rPr>
          <w:rFonts w:hint="eastAsia" w:ascii="仿宋" w:hAnsi="仿宋" w:eastAsia="仿宋" w:cs="Times New Roman"/>
          <w:b/>
          <w:sz w:val="28"/>
          <w:szCs w:val="28"/>
        </w:rPr>
        <w:t>素养</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强基计划专业课程设置与国际</w:t>
      </w:r>
      <w:r>
        <w:rPr>
          <w:rFonts w:ascii="仿宋" w:hAnsi="仿宋" w:eastAsia="仿宋" w:cs="Times New Roman"/>
          <w:sz w:val="28"/>
          <w:szCs w:val="28"/>
        </w:rPr>
        <w:t>一流大学看齐</w:t>
      </w:r>
      <w:r>
        <w:rPr>
          <w:rFonts w:hint="eastAsia" w:ascii="仿宋" w:hAnsi="仿宋" w:eastAsia="仿宋" w:cs="Times New Roman"/>
          <w:sz w:val="28"/>
          <w:szCs w:val="28"/>
        </w:rPr>
        <w:t>，本科第一年、第二年强化拓宽基础，</w:t>
      </w:r>
      <w:r>
        <w:rPr>
          <w:rFonts w:ascii="仿宋" w:hAnsi="仿宋" w:eastAsia="仿宋" w:cs="Times New Roman"/>
          <w:sz w:val="28"/>
          <w:szCs w:val="28"/>
        </w:rPr>
        <w:t>修读数学基础课和通识课程，</w:t>
      </w:r>
      <w:r>
        <w:rPr>
          <w:rFonts w:hint="eastAsia" w:ascii="仿宋" w:hAnsi="仿宋" w:eastAsia="仿宋" w:cs="Times New Roman"/>
          <w:sz w:val="28"/>
          <w:szCs w:val="28"/>
        </w:rPr>
        <w:t>第三年拓宽学生知识面，提高数学实际应用能力，分为基础数学、应用数学、统计学、计算机、网络空间安全、人工智能专业六个专业模块课程学习。最终达到学生前期打下扎实的数学基础</w:t>
      </w:r>
      <w:r>
        <w:rPr>
          <w:rFonts w:ascii="仿宋" w:hAnsi="仿宋" w:eastAsia="仿宋" w:cs="Times New Roman"/>
          <w:sz w:val="28"/>
          <w:szCs w:val="28"/>
        </w:rPr>
        <w:t>,</w:t>
      </w:r>
      <w:r>
        <w:rPr>
          <w:rFonts w:hint="eastAsia" w:ascii="仿宋" w:hAnsi="仿宋" w:eastAsia="仿宋" w:cs="Times New Roman"/>
          <w:sz w:val="28"/>
          <w:szCs w:val="28"/>
        </w:rPr>
        <w:t>后期突出专业教育和交叉学科的培养效果</w:t>
      </w:r>
      <w:r>
        <w:rPr>
          <w:rFonts w:ascii="仿宋" w:hAnsi="仿宋" w:eastAsia="仿宋" w:cs="Times New Roman"/>
          <w:sz w:val="28"/>
          <w:szCs w:val="28"/>
        </w:rPr>
        <w:t>。</w:t>
      </w:r>
    </w:p>
    <w:p>
      <w:pPr>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6</w:t>
      </w:r>
      <w:r>
        <w:rPr>
          <w:rFonts w:ascii="仿宋" w:hAnsi="仿宋" w:eastAsia="仿宋" w:cs="Times New Roman"/>
          <w:b/>
          <w:sz w:val="28"/>
          <w:szCs w:val="28"/>
        </w:rPr>
        <w:t>.</w:t>
      </w:r>
      <w:r>
        <w:rPr>
          <w:rFonts w:hint="eastAsia" w:ascii="仿宋" w:hAnsi="仿宋" w:eastAsia="仿宋" w:cs="Times New Roman"/>
          <w:b/>
          <w:sz w:val="28"/>
          <w:szCs w:val="28"/>
        </w:rPr>
        <w:t>深化</w:t>
      </w:r>
      <w:r>
        <w:rPr>
          <w:rFonts w:ascii="仿宋" w:hAnsi="仿宋" w:eastAsia="仿宋" w:cs="Times New Roman"/>
          <w:b/>
          <w:sz w:val="28"/>
          <w:szCs w:val="28"/>
        </w:rPr>
        <w:t>国际</w:t>
      </w:r>
      <w:r>
        <w:rPr>
          <w:rFonts w:hint="eastAsia" w:ascii="仿宋" w:hAnsi="仿宋" w:eastAsia="仿宋" w:cs="Times New Roman"/>
          <w:b/>
          <w:sz w:val="28"/>
          <w:szCs w:val="28"/>
        </w:rPr>
        <w:t>合作</w:t>
      </w:r>
      <w:r>
        <w:rPr>
          <w:rFonts w:ascii="仿宋" w:hAnsi="仿宋" w:eastAsia="仿宋" w:cs="Times New Roman"/>
          <w:b/>
          <w:sz w:val="28"/>
          <w:szCs w:val="28"/>
        </w:rPr>
        <w:t>，</w:t>
      </w:r>
      <w:r>
        <w:rPr>
          <w:rFonts w:hint="eastAsia" w:ascii="仿宋" w:hAnsi="仿宋" w:eastAsia="仿宋" w:cs="Times New Roman"/>
          <w:b/>
          <w:sz w:val="28"/>
          <w:szCs w:val="28"/>
        </w:rPr>
        <w:t>提升</w:t>
      </w:r>
      <w:r>
        <w:rPr>
          <w:rFonts w:ascii="仿宋" w:hAnsi="仿宋" w:eastAsia="仿宋" w:cs="Times New Roman"/>
          <w:b/>
          <w:sz w:val="28"/>
          <w:szCs w:val="28"/>
        </w:rPr>
        <w:t>国际</w:t>
      </w:r>
      <w:r>
        <w:rPr>
          <w:rFonts w:hint="eastAsia" w:ascii="仿宋" w:hAnsi="仿宋" w:eastAsia="仿宋" w:cs="Times New Roman"/>
          <w:b/>
          <w:sz w:val="28"/>
          <w:szCs w:val="28"/>
        </w:rPr>
        <w:t>视野</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为了进一步强化学生的国际化意识和视野</w:t>
      </w:r>
      <w:r>
        <w:rPr>
          <w:rFonts w:ascii="仿宋" w:hAnsi="仿宋" w:eastAsia="仿宋" w:cs="Times New Roman"/>
          <w:sz w:val="28"/>
          <w:szCs w:val="28"/>
        </w:rPr>
        <w:t>,</w:t>
      </w:r>
      <w:r>
        <w:rPr>
          <w:rFonts w:hint="eastAsia" w:ascii="仿宋" w:hAnsi="仿宋" w:eastAsia="仿宋" w:cs="Times New Roman"/>
          <w:sz w:val="28"/>
          <w:szCs w:val="28"/>
        </w:rPr>
        <w:t>不断</w:t>
      </w:r>
      <w:r>
        <w:rPr>
          <w:rFonts w:ascii="仿宋" w:hAnsi="仿宋" w:eastAsia="仿宋" w:cs="Times New Roman"/>
          <w:sz w:val="28"/>
          <w:szCs w:val="28"/>
        </w:rPr>
        <w:t>拓宽国际</w:t>
      </w:r>
      <w:r>
        <w:rPr>
          <w:rFonts w:hint="eastAsia" w:ascii="仿宋" w:hAnsi="仿宋" w:eastAsia="仿宋" w:cs="Times New Roman"/>
          <w:sz w:val="28"/>
          <w:szCs w:val="28"/>
        </w:rPr>
        <w:t>交流</w:t>
      </w:r>
      <w:r>
        <w:rPr>
          <w:rFonts w:ascii="仿宋" w:hAnsi="仿宋" w:eastAsia="仿宋" w:cs="Times New Roman"/>
          <w:sz w:val="28"/>
          <w:szCs w:val="28"/>
        </w:rPr>
        <w:t>和联合培养的渠道</w:t>
      </w:r>
      <w:r>
        <w:rPr>
          <w:rFonts w:hint="eastAsia" w:ascii="仿宋" w:hAnsi="仿宋" w:eastAsia="仿宋" w:cs="Times New Roman"/>
          <w:sz w:val="28"/>
          <w:szCs w:val="28"/>
        </w:rPr>
        <w:t>。</w:t>
      </w:r>
      <w:r>
        <w:rPr>
          <w:rFonts w:ascii="仿宋" w:hAnsi="仿宋" w:eastAsia="仿宋" w:cs="Times New Roman"/>
          <w:sz w:val="28"/>
          <w:szCs w:val="28"/>
        </w:rPr>
        <w:t>通过联合培养</w:t>
      </w:r>
      <w:r>
        <w:rPr>
          <w:rFonts w:hint="eastAsia" w:ascii="仿宋" w:hAnsi="仿宋" w:eastAsia="仿宋" w:cs="Times New Roman"/>
          <w:sz w:val="28"/>
          <w:szCs w:val="28"/>
        </w:rPr>
        <w:t>、</w:t>
      </w:r>
      <w:r>
        <w:rPr>
          <w:rFonts w:ascii="仿宋" w:hAnsi="仿宋" w:eastAsia="仿宋" w:cs="Times New Roman"/>
          <w:sz w:val="28"/>
          <w:szCs w:val="28"/>
        </w:rPr>
        <w:t>长期修课学习、短期研学等方式,</w:t>
      </w:r>
      <w:r>
        <w:rPr>
          <w:rFonts w:hint="eastAsia" w:ascii="仿宋" w:hAnsi="仿宋" w:eastAsia="仿宋" w:cs="Times New Roman"/>
          <w:sz w:val="28"/>
          <w:szCs w:val="28"/>
        </w:rPr>
        <w:t>资助</w:t>
      </w:r>
      <w:r>
        <w:rPr>
          <w:rFonts w:ascii="仿宋" w:hAnsi="仿宋" w:eastAsia="仿宋" w:cs="Times New Roman"/>
          <w:sz w:val="28"/>
          <w:szCs w:val="28"/>
        </w:rPr>
        <w:t>学生</w:t>
      </w:r>
      <w:r>
        <w:rPr>
          <w:rFonts w:hint="eastAsia" w:ascii="仿宋" w:hAnsi="仿宋" w:eastAsia="仿宋" w:cs="Times New Roman"/>
          <w:sz w:val="28"/>
          <w:szCs w:val="28"/>
        </w:rPr>
        <w:t>在本科</w:t>
      </w:r>
      <w:r>
        <w:rPr>
          <w:rFonts w:ascii="仿宋" w:hAnsi="仿宋" w:eastAsia="仿宋" w:cs="Times New Roman"/>
          <w:sz w:val="28"/>
          <w:szCs w:val="28"/>
        </w:rPr>
        <w:t>期间</w:t>
      </w:r>
      <w:r>
        <w:rPr>
          <w:rFonts w:hint="eastAsia" w:ascii="仿宋" w:hAnsi="仿宋" w:eastAsia="仿宋" w:cs="Times New Roman"/>
          <w:sz w:val="28"/>
          <w:szCs w:val="28"/>
        </w:rPr>
        <w:t>至少有</w:t>
      </w:r>
      <w:r>
        <w:rPr>
          <w:rFonts w:ascii="仿宋" w:hAnsi="仿宋" w:eastAsia="仿宋" w:cs="Times New Roman"/>
          <w:sz w:val="28"/>
          <w:szCs w:val="28"/>
        </w:rPr>
        <w:t>一个学期</w:t>
      </w:r>
      <w:r>
        <w:rPr>
          <w:rFonts w:hint="eastAsia" w:ascii="仿宋" w:hAnsi="仿宋" w:eastAsia="仿宋" w:cs="Times New Roman"/>
          <w:sz w:val="28"/>
          <w:szCs w:val="28"/>
        </w:rPr>
        <w:t>赴国际顶尖高校的学习</w:t>
      </w:r>
      <w:r>
        <w:rPr>
          <w:rFonts w:ascii="仿宋" w:hAnsi="仿宋" w:eastAsia="仿宋" w:cs="Times New Roman"/>
          <w:sz w:val="28"/>
          <w:szCs w:val="28"/>
        </w:rPr>
        <w:t>经历。</w:t>
      </w:r>
      <w:r>
        <w:rPr>
          <w:rFonts w:hint="eastAsia" w:ascii="仿宋" w:hAnsi="仿宋" w:eastAsia="仿宋" w:cs="Times New Roman"/>
          <w:sz w:val="28"/>
          <w:szCs w:val="28"/>
        </w:rPr>
        <w:t>选派学生到美国加州大学伯克利分校、加州大学洛杉矶分校、英国牛津-剑桥等一流大学</w:t>
      </w:r>
      <w:r>
        <w:rPr>
          <w:rFonts w:ascii="仿宋" w:hAnsi="仿宋" w:eastAsia="仿宋" w:cs="Times New Roman"/>
          <w:sz w:val="28"/>
          <w:szCs w:val="28"/>
        </w:rPr>
        <w:t>参加数学暑期学校</w:t>
      </w:r>
      <w:r>
        <w:rPr>
          <w:rFonts w:hint="eastAsia" w:ascii="仿宋" w:hAnsi="仿宋" w:eastAsia="仿宋" w:cs="Times New Roman"/>
          <w:sz w:val="28"/>
          <w:szCs w:val="28"/>
        </w:rPr>
        <w:t>、</w:t>
      </w:r>
      <w:r>
        <w:rPr>
          <w:rFonts w:ascii="仿宋" w:hAnsi="仿宋" w:eastAsia="仿宋" w:cs="Times New Roman"/>
          <w:sz w:val="28"/>
          <w:szCs w:val="28"/>
        </w:rPr>
        <w:t>短期研</w:t>
      </w:r>
      <w:r>
        <w:rPr>
          <w:rFonts w:hint="eastAsia" w:ascii="仿宋" w:hAnsi="仿宋" w:eastAsia="仿宋" w:cs="Times New Roman"/>
          <w:sz w:val="28"/>
          <w:szCs w:val="28"/>
        </w:rPr>
        <w:t>学、一学期数学专业课程学习</w:t>
      </w:r>
      <w:r>
        <w:rPr>
          <w:rFonts w:ascii="仿宋" w:hAnsi="仿宋" w:eastAsia="仿宋" w:cs="Times New Roman"/>
          <w:sz w:val="28"/>
          <w:szCs w:val="28"/>
        </w:rPr>
        <w:t>。邀请国外著名大学专家短期授课和</w:t>
      </w:r>
      <w:r>
        <w:rPr>
          <w:rFonts w:hint="eastAsia" w:ascii="仿宋" w:hAnsi="仿宋" w:eastAsia="仿宋" w:cs="Times New Roman"/>
          <w:sz w:val="28"/>
          <w:szCs w:val="28"/>
        </w:rPr>
        <w:t>系列</w:t>
      </w:r>
      <w:r>
        <w:rPr>
          <w:rFonts w:ascii="仿宋" w:hAnsi="仿宋" w:eastAsia="仿宋" w:cs="Times New Roman"/>
          <w:sz w:val="28"/>
          <w:szCs w:val="28"/>
        </w:rPr>
        <w:t>前沿讲座，</w:t>
      </w:r>
      <w:r>
        <w:rPr>
          <w:rFonts w:hint="eastAsia" w:ascii="仿宋" w:hAnsi="仿宋" w:eastAsia="仿宋" w:cs="Times New Roman"/>
          <w:sz w:val="28"/>
          <w:szCs w:val="28"/>
        </w:rPr>
        <w:t>讲授最新的国外科研理念和方法，为学生接触</w:t>
      </w:r>
      <w:r>
        <w:rPr>
          <w:rFonts w:ascii="仿宋" w:hAnsi="仿宋" w:eastAsia="仿宋" w:cs="Times New Roman"/>
          <w:sz w:val="28"/>
          <w:szCs w:val="28"/>
        </w:rPr>
        <w:t>世界科</w:t>
      </w:r>
      <w:r>
        <w:rPr>
          <w:rFonts w:hint="eastAsia" w:ascii="仿宋" w:hAnsi="仿宋" w:eastAsia="仿宋" w:cs="Times New Roman"/>
          <w:sz w:val="28"/>
          <w:szCs w:val="28"/>
        </w:rPr>
        <w:t>学文化</w:t>
      </w:r>
      <w:r>
        <w:rPr>
          <w:rFonts w:ascii="仿宋" w:hAnsi="仿宋" w:eastAsia="仿宋" w:cs="Times New Roman"/>
          <w:sz w:val="28"/>
          <w:szCs w:val="28"/>
        </w:rPr>
        <w:t>研究最前沿、融入国际一流</w:t>
      </w:r>
      <w:r>
        <w:rPr>
          <w:rFonts w:hint="eastAsia" w:ascii="仿宋" w:hAnsi="仿宋" w:eastAsia="仿宋" w:cs="Times New Roman"/>
          <w:sz w:val="28"/>
          <w:szCs w:val="28"/>
        </w:rPr>
        <w:t>学术</w:t>
      </w:r>
      <w:r>
        <w:rPr>
          <w:rFonts w:ascii="仿宋" w:hAnsi="仿宋" w:eastAsia="仿宋" w:cs="Times New Roman"/>
          <w:sz w:val="28"/>
          <w:szCs w:val="28"/>
        </w:rPr>
        <w:t>群</w:t>
      </w:r>
      <w:r>
        <w:rPr>
          <w:rFonts w:hint="eastAsia" w:ascii="仿宋" w:hAnsi="仿宋" w:eastAsia="仿宋" w:cs="Times New Roman"/>
          <w:sz w:val="28"/>
          <w:szCs w:val="28"/>
        </w:rPr>
        <w:t>体</w:t>
      </w:r>
      <w:r>
        <w:rPr>
          <w:rFonts w:ascii="仿宋" w:hAnsi="仿宋" w:eastAsia="仿宋" w:cs="Times New Roman"/>
          <w:sz w:val="28"/>
          <w:szCs w:val="28"/>
        </w:rPr>
        <w:t>创造</w:t>
      </w:r>
      <w:r>
        <w:rPr>
          <w:rFonts w:hint="eastAsia" w:ascii="仿宋" w:hAnsi="仿宋" w:eastAsia="仿宋" w:cs="Times New Roman"/>
          <w:sz w:val="28"/>
          <w:szCs w:val="28"/>
        </w:rPr>
        <w:t>条件</w:t>
      </w:r>
      <w:r>
        <w:rPr>
          <w:rFonts w:ascii="仿宋" w:hAnsi="仿宋" w:eastAsia="仿宋" w:cs="Times New Roman"/>
          <w:sz w:val="28"/>
          <w:szCs w:val="28"/>
        </w:rPr>
        <w:t>。</w:t>
      </w:r>
    </w:p>
    <w:p>
      <w:pPr>
        <w:spacing w:line="360" w:lineRule="auto"/>
        <w:rPr>
          <w:rFonts w:ascii="黑体" w:hAnsi="黑体" w:eastAsia="黑体" w:cs="Times New Roman"/>
          <w:sz w:val="30"/>
          <w:szCs w:val="30"/>
        </w:rPr>
      </w:pPr>
    </w:p>
    <w:p>
      <w:pPr>
        <w:spacing w:line="360" w:lineRule="auto"/>
        <w:rPr>
          <w:rFonts w:ascii="黑体" w:hAnsi="黑体" w:eastAsia="黑体" w:cs="Times New Roman"/>
          <w:b/>
          <w:sz w:val="30"/>
          <w:szCs w:val="30"/>
        </w:rPr>
      </w:pPr>
      <w:r>
        <w:rPr>
          <w:rFonts w:ascii="黑体" w:hAnsi="黑体" w:eastAsia="黑体" w:cs="Times New Roman"/>
          <w:b/>
          <w:sz w:val="30"/>
          <w:szCs w:val="30"/>
        </w:rPr>
        <w:t>五、课程设置</w:t>
      </w:r>
    </w:p>
    <w:p>
      <w:pPr>
        <w:snapToGrid w:val="0"/>
        <w:spacing w:line="360" w:lineRule="auto"/>
        <w:ind w:firstLine="422" w:firstLineChars="150"/>
        <w:rPr>
          <w:rFonts w:ascii="仿宋" w:hAnsi="仿宋" w:eastAsia="仿宋"/>
          <w:b/>
          <w:sz w:val="28"/>
          <w:szCs w:val="28"/>
        </w:rPr>
      </w:pPr>
    </w:p>
    <w:p>
      <w:pPr>
        <w:snapToGrid w:val="0"/>
        <w:spacing w:line="360" w:lineRule="auto"/>
        <w:rPr>
          <w:rFonts w:ascii="仿宋" w:hAnsi="仿宋" w:eastAsia="仿宋"/>
          <w:b/>
          <w:sz w:val="28"/>
          <w:szCs w:val="28"/>
        </w:rPr>
      </w:pPr>
      <w:r>
        <w:rPr>
          <w:rFonts w:ascii="仿宋" w:hAnsi="仿宋" w:eastAsia="仿宋"/>
          <w:b/>
          <w:sz w:val="28"/>
          <w:szCs w:val="28"/>
        </w:rPr>
        <w:t>1</w:t>
      </w:r>
      <w:r>
        <w:rPr>
          <w:rFonts w:hint="eastAsia" w:ascii="仿宋" w:hAnsi="仿宋" w:eastAsia="仿宋"/>
          <w:b/>
          <w:sz w:val="28"/>
          <w:szCs w:val="28"/>
        </w:rPr>
        <w:t>.通识教育课程</w:t>
      </w:r>
    </w:p>
    <w:tbl>
      <w:tblPr>
        <w:tblStyle w:val="9"/>
        <w:tblW w:w="8946" w:type="dxa"/>
        <w:tblInd w:w="93" w:type="dxa"/>
        <w:tblLayout w:type="autofit"/>
        <w:tblCellMar>
          <w:top w:w="0" w:type="dxa"/>
          <w:left w:w="108" w:type="dxa"/>
          <w:bottom w:w="0" w:type="dxa"/>
          <w:right w:w="108" w:type="dxa"/>
        </w:tblCellMar>
      </w:tblPr>
      <w:tblGrid>
        <w:gridCol w:w="2283"/>
        <w:gridCol w:w="3687"/>
        <w:gridCol w:w="960"/>
        <w:gridCol w:w="2016"/>
      </w:tblGrid>
      <w:tr>
        <w:tblPrEx>
          <w:tblCellMar>
            <w:top w:w="0" w:type="dxa"/>
            <w:left w:w="108" w:type="dxa"/>
            <w:bottom w:w="0" w:type="dxa"/>
            <w:right w:w="108" w:type="dxa"/>
          </w:tblCellMar>
        </w:tblPrEx>
        <w:trPr>
          <w:trHeight w:val="255" w:hRule="atLeast"/>
        </w:trPr>
        <w:tc>
          <w:tcPr>
            <w:tcW w:w="2283" w:type="dxa"/>
            <w:tcBorders>
              <w:top w:val="single" w:color="auto" w:sz="4" w:space="0"/>
              <w:left w:val="single" w:color="auto" w:sz="4" w:space="0"/>
              <w:bottom w:val="single" w:color="auto" w:sz="4" w:space="0"/>
              <w:right w:val="single" w:color="auto" w:sz="4" w:space="0"/>
            </w:tcBorders>
            <w:shd w:val="clear" w:color="000000" w:fill="C0C0C0"/>
            <w:noWrap/>
            <w:vAlign w:val="center"/>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课程类型</w:t>
            </w:r>
          </w:p>
        </w:tc>
        <w:tc>
          <w:tcPr>
            <w:tcW w:w="3687" w:type="dxa"/>
            <w:tcBorders>
              <w:top w:val="single" w:color="auto" w:sz="4" w:space="0"/>
              <w:left w:val="nil"/>
              <w:bottom w:val="single" w:color="auto" w:sz="4" w:space="0"/>
              <w:right w:val="single" w:color="auto" w:sz="4" w:space="0"/>
            </w:tcBorders>
            <w:shd w:val="clear" w:color="000000" w:fill="C0C0C0"/>
            <w:noWrap/>
            <w:vAlign w:val="center"/>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课程名称</w:t>
            </w:r>
          </w:p>
        </w:tc>
        <w:tc>
          <w:tcPr>
            <w:tcW w:w="960" w:type="dxa"/>
            <w:tcBorders>
              <w:top w:val="single" w:color="auto" w:sz="4" w:space="0"/>
              <w:left w:val="nil"/>
              <w:bottom w:val="single" w:color="auto" w:sz="4" w:space="0"/>
              <w:right w:val="single" w:color="auto" w:sz="4" w:space="0"/>
            </w:tcBorders>
            <w:shd w:val="clear" w:color="000000" w:fill="C0C0C0"/>
            <w:noWrap/>
            <w:vAlign w:val="center"/>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学分</w:t>
            </w:r>
          </w:p>
        </w:tc>
        <w:tc>
          <w:tcPr>
            <w:tcW w:w="2016" w:type="dxa"/>
            <w:tcBorders>
              <w:top w:val="single" w:color="auto" w:sz="4" w:space="0"/>
              <w:left w:val="nil"/>
              <w:bottom w:val="single" w:color="auto" w:sz="4" w:space="0"/>
              <w:right w:val="single" w:color="auto" w:sz="4" w:space="0"/>
            </w:tcBorders>
            <w:shd w:val="clear" w:color="000000" w:fill="C0C0C0"/>
            <w:noWrap/>
            <w:vAlign w:val="center"/>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开课学期</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大学语文</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高级语言程序设计</w:t>
            </w:r>
            <w:r>
              <w:rPr>
                <w:rFonts w:ascii="仿宋" w:hAnsi="仿宋" w:eastAsia="仿宋" w:cs="Arial"/>
                <w:kern w:val="0"/>
                <w:sz w:val="24"/>
                <w:szCs w:val="24"/>
              </w:rPr>
              <w:t>2-1</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3</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高级语言程序设计</w:t>
            </w:r>
            <w:r>
              <w:rPr>
                <w:rFonts w:ascii="仿宋" w:hAnsi="仿宋" w:eastAsia="仿宋" w:cs="Arial"/>
                <w:kern w:val="0"/>
                <w:sz w:val="24"/>
                <w:szCs w:val="24"/>
              </w:rPr>
              <w:t>2-2</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3</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数据结构</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2.5</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思想道德修养与法律基础专题</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3</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马克思主义基本原理专题</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3</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中国近现代史纲要专题</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3</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毛泽东思想和中国特色社会主义理论体系概论</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3</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英语综合技能2-1</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1</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英语综合技能2-2</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1</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语言、文化及交流2-1</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语言、文化及交流2-2</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高级英语综合技能2-1</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高级英语综合技能2-2</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大学物理学概论</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4</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公能实践</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春秋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军训</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1</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通识教育必修课程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形势与政策</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1,2,3,4,5,6,7,8</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通识教育选修课程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数学文化</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春秋</w:t>
            </w:r>
          </w:p>
        </w:tc>
      </w:tr>
      <w:tr>
        <w:tblPrEx>
          <w:tblCellMar>
            <w:top w:w="0" w:type="dxa"/>
            <w:left w:w="108" w:type="dxa"/>
            <w:bottom w:w="0" w:type="dxa"/>
            <w:right w:w="108" w:type="dxa"/>
          </w:tblCellMar>
        </w:tblPrEx>
        <w:trPr>
          <w:trHeight w:val="255" w:hRule="atLeast"/>
        </w:trPr>
        <w:tc>
          <w:tcPr>
            <w:tcW w:w="2283" w:type="dxa"/>
            <w:tcBorders>
              <w:top w:val="nil"/>
              <w:left w:val="single" w:color="auto" w:sz="4" w:space="0"/>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通识教育选修课程</w:t>
            </w:r>
          </w:p>
        </w:tc>
        <w:tc>
          <w:tcPr>
            <w:tcW w:w="3687"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数学史</w:t>
            </w:r>
          </w:p>
        </w:tc>
        <w:tc>
          <w:tcPr>
            <w:tcW w:w="960"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ascii="仿宋" w:hAnsi="仿宋" w:eastAsia="仿宋" w:cs="Arial"/>
                <w:kern w:val="0"/>
                <w:sz w:val="24"/>
                <w:szCs w:val="24"/>
              </w:rPr>
              <w:t>2</w:t>
            </w:r>
          </w:p>
        </w:tc>
        <w:tc>
          <w:tcPr>
            <w:tcW w:w="2016" w:type="dxa"/>
            <w:tcBorders>
              <w:top w:val="nil"/>
              <w:left w:val="nil"/>
              <w:bottom w:val="single" w:color="auto" w:sz="4" w:space="0"/>
              <w:right w:val="single" w:color="auto" w:sz="4" w:space="0"/>
            </w:tcBorders>
            <w:shd w:val="clear" w:color="auto" w:fill="auto"/>
            <w:noWrap/>
            <w:vAlign w:val="bottom"/>
          </w:tcPr>
          <w:p>
            <w:pPr>
              <w:widowControl/>
              <w:spacing w:line="360" w:lineRule="auto"/>
              <w:jc w:val="center"/>
              <w:rPr>
                <w:rFonts w:ascii="仿宋" w:hAnsi="仿宋" w:eastAsia="仿宋" w:cs="Arial"/>
                <w:kern w:val="0"/>
                <w:sz w:val="24"/>
                <w:szCs w:val="24"/>
              </w:rPr>
            </w:pPr>
            <w:r>
              <w:rPr>
                <w:rFonts w:hint="eastAsia" w:ascii="仿宋" w:hAnsi="仿宋" w:eastAsia="仿宋" w:cs="Arial"/>
                <w:kern w:val="0"/>
                <w:sz w:val="24"/>
                <w:szCs w:val="24"/>
              </w:rPr>
              <w:t>春秋</w:t>
            </w:r>
          </w:p>
        </w:tc>
      </w:tr>
    </w:tbl>
    <w:p>
      <w:pPr>
        <w:snapToGrid w:val="0"/>
        <w:spacing w:line="360" w:lineRule="auto"/>
        <w:ind w:firstLine="360" w:firstLineChars="150"/>
        <w:rPr>
          <w:rFonts w:ascii="仿宋" w:hAnsi="仿宋" w:eastAsia="仿宋"/>
          <w:sz w:val="24"/>
          <w:szCs w:val="24"/>
        </w:rPr>
      </w:pPr>
    </w:p>
    <w:p>
      <w:pPr>
        <w:snapToGrid w:val="0"/>
        <w:spacing w:line="360" w:lineRule="auto"/>
        <w:ind w:firstLine="281" w:firstLineChars="1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w:t>
      </w:r>
      <w:r>
        <w:rPr>
          <w:rFonts w:hint="eastAsia" w:ascii="仿宋" w:hAnsi="仿宋" w:eastAsia="仿宋"/>
          <w:b/>
          <w:sz w:val="28"/>
          <w:szCs w:val="28"/>
        </w:rPr>
        <w:t>专业教育课程</w:t>
      </w:r>
    </w:p>
    <w:tbl>
      <w:tblPr>
        <w:tblStyle w:val="9"/>
        <w:tblW w:w="8955" w:type="dxa"/>
        <w:tblInd w:w="93" w:type="dxa"/>
        <w:tblLayout w:type="autofit"/>
        <w:tblCellMar>
          <w:top w:w="0" w:type="dxa"/>
          <w:left w:w="108" w:type="dxa"/>
          <w:bottom w:w="0" w:type="dxa"/>
          <w:right w:w="108" w:type="dxa"/>
        </w:tblCellMar>
      </w:tblPr>
      <w:tblGrid>
        <w:gridCol w:w="2850"/>
        <w:gridCol w:w="3119"/>
        <w:gridCol w:w="992"/>
        <w:gridCol w:w="1994"/>
      </w:tblGrid>
      <w:tr>
        <w:tblPrEx>
          <w:tblCellMar>
            <w:top w:w="0" w:type="dxa"/>
            <w:left w:w="108" w:type="dxa"/>
            <w:bottom w:w="0" w:type="dxa"/>
            <w:right w:w="108" w:type="dxa"/>
          </w:tblCellMar>
        </w:tblPrEx>
        <w:trPr>
          <w:trHeight w:val="255" w:hRule="atLeast"/>
        </w:trPr>
        <w:tc>
          <w:tcPr>
            <w:tcW w:w="2850" w:type="dxa"/>
            <w:tcBorders>
              <w:top w:val="single" w:color="auto" w:sz="4" w:space="0"/>
              <w:left w:val="single" w:color="auto" w:sz="4" w:space="0"/>
              <w:bottom w:val="single" w:color="auto" w:sz="4" w:space="0"/>
              <w:right w:val="single" w:color="auto" w:sz="4" w:space="0"/>
            </w:tcBorders>
            <w:shd w:val="clear" w:color="000000" w:fill="C0C0C0"/>
            <w:noWrap/>
            <w:vAlign w:val="center"/>
          </w:tcPr>
          <w:p>
            <w:pPr>
              <w:spacing w:line="360" w:lineRule="auto"/>
              <w:jc w:val="center"/>
              <w:rPr>
                <w:rFonts w:ascii="仿宋" w:hAnsi="仿宋" w:eastAsia="仿宋" w:cs="Arial"/>
                <w:sz w:val="24"/>
                <w:szCs w:val="24"/>
              </w:rPr>
            </w:pPr>
            <w:r>
              <w:rPr>
                <w:rFonts w:hint="eastAsia" w:ascii="仿宋" w:hAnsi="仿宋" w:eastAsia="仿宋" w:cs="Arial"/>
                <w:sz w:val="24"/>
                <w:szCs w:val="24"/>
              </w:rPr>
              <w:t>课程类型</w:t>
            </w:r>
          </w:p>
        </w:tc>
        <w:tc>
          <w:tcPr>
            <w:tcW w:w="3119" w:type="dxa"/>
            <w:tcBorders>
              <w:top w:val="single" w:color="auto" w:sz="4" w:space="0"/>
              <w:left w:val="nil"/>
              <w:bottom w:val="single" w:color="auto" w:sz="4" w:space="0"/>
              <w:right w:val="single" w:color="auto" w:sz="4" w:space="0"/>
            </w:tcBorders>
            <w:shd w:val="clear" w:color="000000" w:fill="C0C0C0"/>
            <w:noWrap/>
            <w:vAlign w:val="center"/>
          </w:tcPr>
          <w:p>
            <w:pPr>
              <w:spacing w:line="360" w:lineRule="auto"/>
              <w:jc w:val="center"/>
              <w:rPr>
                <w:rFonts w:ascii="仿宋" w:hAnsi="仿宋" w:eastAsia="仿宋" w:cs="Arial"/>
                <w:sz w:val="24"/>
                <w:szCs w:val="24"/>
              </w:rPr>
            </w:pPr>
            <w:r>
              <w:rPr>
                <w:rFonts w:ascii="仿宋" w:hAnsi="仿宋" w:eastAsia="仿宋" w:cs="Arial"/>
                <w:sz w:val="24"/>
                <w:szCs w:val="24"/>
              </w:rPr>
              <w:t>课程名称</w:t>
            </w:r>
          </w:p>
        </w:tc>
        <w:tc>
          <w:tcPr>
            <w:tcW w:w="992" w:type="dxa"/>
            <w:tcBorders>
              <w:top w:val="single" w:color="auto" w:sz="4" w:space="0"/>
              <w:left w:val="nil"/>
              <w:bottom w:val="single" w:color="auto" w:sz="4" w:space="0"/>
              <w:right w:val="single" w:color="auto" w:sz="4" w:space="0"/>
            </w:tcBorders>
            <w:shd w:val="clear" w:color="000000" w:fill="C0C0C0"/>
            <w:noWrap/>
            <w:vAlign w:val="center"/>
          </w:tcPr>
          <w:p>
            <w:pPr>
              <w:spacing w:line="360" w:lineRule="auto"/>
              <w:jc w:val="center"/>
              <w:rPr>
                <w:rFonts w:ascii="仿宋" w:hAnsi="仿宋" w:eastAsia="仿宋" w:cs="Arial"/>
                <w:sz w:val="24"/>
                <w:szCs w:val="24"/>
              </w:rPr>
            </w:pPr>
            <w:r>
              <w:rPr>
                <w:rFonts w:ascii="仿宋" w:hAnsi="仿宋" w:eastAsia="仿宋" w:cs="Arial"/>
                <w:sz w:val="24"/>
                <w:szCs w:val="24"/>
              </w:rPr>
              <w:t>学分</w:t>
            </w:r>
          </w:p>
        </w:tc>
        <w:tc>
          <w:tcPr>
            <w:tcW w:w="1994" w:type="dxa"/>
            <w:tcBorders>
              <w:top w:val="single" w:color="auto" w:sz="4" w:space="0"/>
              <w:left w:val="nil"/>
              <w:bottom w:val="single" w:color="auto" w:sz="4" w:space="0"/>
              <w:right w:val="single" w:color="auto" w:sz="4" w:space="0"/>
            </w:tcBorders>
            <w:shd w:val="clear" w:color="000000" w:fill="C0C0C0"/>
            <w:noWrap/>
            <w:vAlign w:val="center"/>
          </w:tcPr>
          <w:p>
            <w:pPr>
              <w:spacing w:line="360" w:lineRule="auto"/>
              <w:jc w:val="center"/>
              <w:rPr>
                <w:rFonts w:ascii="仿宋" w:hAnsi="仿宋" w:eastAsia="仿宋" w:cs="Arial"/>
                <w:sz w:val="24"/>
                <w:szCs w:val="24"/>
              </w:rPr>
            </w:pPr>
            <w:r>
              <w:rPr>
                <w:rFonts w:ascii="仿宋" w:hAnsi="仿宋" w:eastAsia="仿宋" w:cs="Arial"/>
                <w:sz w:val="24"/>
                <w:szCs w:val="24"/>
              </w:rPr>
              <w:t>开课学期</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数学分析3-1</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5.5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1</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高等代数与解析几何2-1</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1</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数学分析3-2</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高等代数与解析几何2-2</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5.5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数学分析3-3</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复变函数</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抽象代数</w:t>
            </w:r>
            <w:r>
              <w:rPr>
                <w:rFonts w:ascii="仿宋" w:hAnsi="仿宋" w:eastAsia="仿宋" w:cs="Arial"/>
                <w:sz w:val="24"/>
                <w:szCs w:val="24"/>
              </w:rPr>
              <w:t>I</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常微分方程</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概率论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实变函数</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抽象代数</w:t>
            </w:r>
            <w:r>
              <w:rPr>
                <w:rFonts w:ascii="仿宋" w:hAnsi="仿宋" w:eastAsia="仿宋" w:cs="Arial"/>
                <w:sz w:val="24"/>
                <w:szCs w:val="24"/>
              </w:rPr>
              <w:t>II</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点集拓扑学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泛函分析</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5</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数理方程</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5</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数学前沿问题选讲</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1</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6</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专业必修课</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毕业论文</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6</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8</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计算机集合论与逻辑</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李代数</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抽象函数与巴拿赫代数</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拓扑学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微分几何</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有限群表示论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现代分析基础</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微分流形</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伽罗瓦理论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动力系统</w:t>
            </w:r>
            <w:r>
              <w:rPr>
                <w:rFonts w:ascii="仿宋" w:hAnsi="仿宋" w:eastAsia="仿宋" w:cs="Arial"/>
                <w:sz w:val="24"/>
                <w:szCs w:val="24"/>
              </w:rPr>
              <w:t>I</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动力系统</w:t>
            </w:r>
            <w:r>
              <w:rPr>
                <w:rFonts w:ascii="仿宋" w:hAnsi="仿宋" w:eastAsia="仿宋" w:cs="Arial"/>
                <w:sz w:val="24"/>
                <w:szCs w:val="24"/>
              </w:rPr>
              <w:t>II</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结合代数</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变分学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基础数学模块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黎曼曲面引论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金融工程学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操作系统与网络</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信号与系统</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组合论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精算数学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LaTeX</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1</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图论</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投资学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运筹学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数学建模</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应用数学模块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随机运筹学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数据挖掘</w:t>
            </w:r>
            <w:r>
              <w:rPr>
                <w:rFonts w:hint="eastAsia" w:ascii="仿宋" w:hAnsi="仿宋" w:eastAsia="仿宋" w:cs="Arial"/>
                <w:sz w:val="24"/>
                <w:szCs w:val="24"/>
              </w:rPr>
              <w:t>与机器学习</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回归分析</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数据采集方法</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多元统计分析</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数理统计</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统计与大数据分析软件</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统计学模块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随机过程</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计算机组成原理</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离散数学</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编译系统原理</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操作系统</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计算机网络</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计算机图形学</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机器学习及应用</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计算机视觉基础</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数据库系统</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算法导论</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汇编与逆向技术基础</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2.5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信息安全数学基础</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4</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密码学</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算法和协议中的安全机制及应用</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网络安全技术</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计算机病毒及其防治技术</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漏洞利用及渗透测试基础</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3</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网络空间安全模块</w:t>
            </w:r>
          </w:p>
        </w:tc>
        <w:tc>
          <w:tcPr>
            <w:tcW w:w="3119"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信息隐藏技术</w:t>
            </w:r>
          </w:p>
        </w:tc>
        <w:tc>
          <w:tcPr>
            <w:tcW w:w="992"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ascii="仿宋" w:hAnsi="仿宋" w:eastAsia="仿宋" w:cs="Arial"/>
                <w:sz w:val="24"/>
                <w:szCs w:val="24"/>
              </w:rPr>
              <w:t>3.5</w:t>
            </w:r>
          </w:p>
        </w:tc>
        <w:tc>
          <w:tcPr>
            <w:tcW w:w="1994" w:type="dxa"/>
            <w:tcBorders>
              <w:top w:val="nil"/>
              <w:left w:val="nil"/>
              <w:bottom w:val="single" w:color="auto" w:sz="4" w:space="0"/>
              <w:right w:val="single" w:color="auto" w:sz="4" w:space="0"/>
            </w:tcBorders>
            <w:shd w:val="clear" w:color="auto" w:fill="auto"/>
            <w:noWrap/>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人工智能模块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 xml:space="preserve">人工智能导论 </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人工智能模块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 xml:space="preserve">计算机视觉 </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人工智能模块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 xml:space="preserve">机器学习与数据挖掘 </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秋</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人工智能模块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 xml:space="preserve">强化学习 </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r>
        <w:tblPrEx>
          <w:tblCellMar>
            <w:top w:w="0" w:type="dxa"/>
            <w:left w:w="108" w:type="dxa"/>
            <w:bottom w:w="0" w:type="dxa"/>
            <w:right w:w="108" w:type="dxa"/>
          </w:tblCellMar>
        </w:tblPrEx>
        <w:trPr>
          <w:trHeight w:val="255" w:hRule="atLeast"/>
        </w:trPr>
        <w:tc>
          <w:tcPr>
            <w:tcW w:w="2850" w:type="dxa"/>
            <w:tcBorders>
              <w:top w:val="nil"/>
              <w:left w:val="single" w:color="auto" w:sz="4" w:space="0"/>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人工智能模块</w:t>
            </w:r>
          </w:p>
        </w:tc>
        <w:tc>
          <w:tcPr>
            <w:tcW w:w="3119"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智能工程</w:t>
            </w:r>
          </w:p>
        </w:tc>
        <w:tc>
          <w:tcPr>
            <w:tcW w:w="992"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ascii="仿宋" w:hAnsi="仿宋" w:eastAsia="仿宋" w:cs="Arial"/>
                <w:sz w:val="24"/>
                <w:szCs w:val="24"/>
              </w:rPr>
              <w:t>2</w:t>
            </w:r>
          </w:p>
        </w:tc>
        <w:tc>
          <w:tcPr>
            <w:tcW w:w="1994" w:type="dxa"/>
            <w:tcBorders>
              <w:top w:val="nil"/>
              <w:left w:val="nil"/>
              <w:bottom w:val="single" w:color="auto" w:sz="4" w:space="0"/>
              <w:right w:val="single" w:color="auto" w:sz="4" w:space="0"/>
            </w:tcBorders>
            <w:shd w:val="clear" w:color="auto" w:fill="auto"/>
            <w:noWrap/>
            <w:vAlign w:val="bottom"/>
          </w:tcPr>
          <w:p>
            <w:pPr>
              <w:spacing w:line="360" w:lineRule="auto"/>
              <w:jc w:val="center"/>
              <w:rPr>
                <w:rFonts w:ascii="仿宋" w:hAnsi="仿宋" w:eastAsia="仿宋" w:cs="Arial"/>
                <w:sz w:val="24"/>
                <w:szCs w:val="24"/>
              </w:rPr>
            </w:pPr>
            <w:r>
              <w:rPr>
                <w:rFonts w:hint="eastAsia" w:ascii="仿宋" w:hAnsi="仿宋" w:eastAsia="仿宋" w:cs="Arial"/>
                <w:sz w:val="24"/>
                <w:szCs w:val="24"/>
              </w:rPr>
              <w:t>春</w:t>
            </w:r>
          </w:p>
        </w:tc>
      </w:tr>
    </w:tbl>
    <w:p>
      <w:pPr>
        <w:spacing w:line="360" w:lineRule="auto"/>
        <w:rPr>
          <w:rFonts w:ascii="仿宋" w:hAnsi="仿宋" w:eastAsia="仿宋"/>
          <w:b/>
          <w:sz w:val="28"/>
          <w:szCs w:val="28"/>
        </w:rPr>
      </w:pPr>
      <w:r>
        <w:rPr>
          <w:rFonts w:hint="eastAsia" w:ascii="仿宋" w:hAnsi="仿宋" w:eastAsia="仿宋"/>
          <w:b/>
          <w:sz w:val="28"/>
          <w:szCs w:val="28"/>
        </w:rPr>
        <w:t>3.特色课程</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南开</w:t>
      </w:r>
      <w:r>
        <w:rPr>
          <w:rFonts w:ascii="仿宋" w:hAnsi="仿宋" w:eastAsia="仿宋" w:cs="Times New Roman"/>
          <w:sz w:val="28"/>
          <w:szCs w:val="28"/>
        </w:rPr>
        <w:t>数学</w:t>
      </w:r>
      <w:r>
        <w:rPr>
          <w:rFonts w:hint="eastAsia" w:ascii="仿宋" w:hAnsi="仿宋" w:eastAsia="仿宋" w:cs="Times New Roman"/>
          <w:sz w:val="28"/>
          <w:szCs w:val="28"/>
        </w:rPr>
        <w:t>特别</w:t>
      </w:r>
      <w:r>
        <w:rPr>
          <w:rFonts w:ascii="仿宋" w:hAnsi="仿宋" w:eastAsia="仿宋" w:cs="Times New Roman"/>
          <w:sz w:val="28"/>
          <w:szCs w:val="28"/>
        </w:rPr>
        <w:t>注重</w:t>
      </w:r>
      <w:r>
        <w:rPr>
          <w:rFonts w:hint="eastAsia" w:ascii="仿宋" w:hAnsi="仿宋" w:eastAsia="仿宋" w:cs="Times New Roman"/>
          <w:sz w:val="28"/>
          <w:szCs w:val="28"/>
        </w:rPr>
        <w:t>对基础课程的授课内容、讲授</w:t>
      </w:r>
      <w:r>
        <w:rPr>
          <w:rFonts w:ascii="仿宋" w:hAnsi="仿宋" w:eastAsia="仿宋" w:cs="Times New Roman"/>
          <w:sz w:val="28"/>
          <w:szCs w:val="28"/>
        </w:rPr>
        <w:t>方式、考核</w:t>
      </w:r>
      <w:r>
        <w:rPr>
          <w:rFonts w:hint="eastAsia" w:ascii="仿宋" w:hAnsi="仿宋" w:eastAsia="仿宋" w:cs="Times New Roman"/>
          <w:sz w:val="28"/>
          <w:szCs w:val="28"/>
        </w:rPr>
        <w:t>等各个教学</w:t>
      </w:r>
      <w:r>
        <w:rPr>
          <w:rFonts w:ascii="仿宋" w:hAnsi="仿宋" w:eastAsia="仿宋" w:cs="Times New Roman"/>
          <w:sz w:val="28"/>
          <w:szCs w:val="28"/>
        </w:rPr>
        <w:t>环节</w:t>
      </w:r>
      <w:r>
        <w:rPr>
          <w:rFonts w:hint="eastAsia" w:ascii="仿宋" w:hAnsi="仿宋" w:eastAsia="仿宋" w:cs="Times New Roman"/>
          <w:sz w:val="28"/>
          <w:szCs w:val="28"/>
        </w:rPr>
        <w:t>的改革创新，改革</w:t>
      </w:r>
      <w:r>
        <w:rPr>
          <w:rFonts w:ascii="仿宋" w:hAnsi="仿宋" w:eastAsia="仿宋" w:cs="Times New Roman"/>
          <w:sz w:val="28"/>
          <w:szCs w:val="28"/>
        </w:rPr>
        <w:t>效果显著</w:t>
      </w:r>
      <w:r>
        <w:rPr>
          <w:rFonts w:hint="eastAsia" w:ascii="仿宋" w:hAnsi="仿宋" w:eastAsia="仿宋" w:cs="Times New Roman"/>
          <w:sz w:val="28"/>
          <w:szCs w:val="28"/>
        </w:rPr>
        <w:t>。</w:t>
      </w:r>
    </w:p>
    <w:p>
      <w:pPr>
        <w:numPr>
          <w:ilvl w:val="0"/>
          <w:numId w:val="3"/>
        </w:numPr>
        <w:spacing w:line="360" w:lineRule="auto"/>
        <w:rPr>
          <w:rFonts w:ascii="仿宋" w:hAnsi="仿宋" w:eastAsia="仿宋" w:cs="Times New Roman"/>
          <w:sz w:val="28"/>
          <w:szCs w:val="28"/>
        </w:rPr>
      </w:pPr>
      <w:r>
        <w:rPr>
          <w:rFonts w:hint="eastAsia" w:ascii="仿宋" w:hAnsi="仿宋" w:eastAsia="仿宋" w:cs="Times New Roman"/>
          <w:sz w:val="28"/>
          <w:szCs w:val="28"/>
        </w:rPr>
        <w:t>《高等代数</w:t>
      </w:r>
      <w:r>
        <w:rPr>
          <w:rFonts w:ascii="仿宋" w:hAnsi="仿宋" w:eastAsia="仿宋" w:cs="Times New Roman"/>
          <w:sz w:val="28"/>
          <w:szCs w:val="28"/>
        </w:rPr>
        <w:t>与解析几何</w:t>
      </w:r>
      <w:r>
        <w:rPr>
          <w:rFonts w:hint="eastAsia" w:ascii="仿宋" w:hAnsi="仿宋" w:eastAsia="仿宋" w:cs="Times New Roman"/>
          <w:sz w:val="28"/>
          <w:szCs w:val="28"/>
        </w:rPr>
        <w:t>》、</w:t>
      </w:r>
      <w:r>
        <w:rPr>
          <w:rFonts w:ascii="仿宋" w:hAnsi="仿宋" w:eastAsia="仿宋" w:cs="Times New Roman"/>
          <w:sz w:val="28"/>
          <w:szCs w:val="28"/>
        </w:rPr>
        <w:t>《</w:t>
      </w:r>
      <w:r>
        <w:rPr>
          <w:rFonts w:hint="eastAsia" w:ascii="仿宋" w:hAnsi="仿宋" w:eastAsia="仿宋" w:cs="Times New Roman"/>
          <w:sz w:val="28"/>
          <w:szCs w:val="28"/>
        </w:rPr>
        <w:t>抽象代数</w:t>
      </w:r>
      <w:r>
        <w:rPr>
          <w:rFonts w:ascii="仿宋" w:hAnsi="仿宋" w:eastAsia="仿宋" w:cs="Times New Roman"/>
          <w:sz w:val="28"/>
          <w:szCs w:val="28"/>
        </w:rPr>
        <w:t>》</w:t>
      </w:r>
      <w:r>
        <w:rPr>
          <w:rFonts w:hint="eastAsia" w:ascii="仿宋" w:hAnsi="仿宋" w:eastAsia="仿宋" w:cs="Times New Roman"/>
          <w:sz w:val="28"/>
          <w:szCs w:val="28"/>
        </w:rPr>
        <w:t>、《数学文化》三门课程</w:t>
      </w:r>
      <w:r>
        <w:rPr>
          <w:rFonts w:ascii="仿宋" w:hAnsi="仿宋" w:eastAsia="仿宋" w:cs="Times New Roman"/>
          <w:sz w:val="28"/>
          <w:szCs w:val="28"/>
        </w:rPr>
        <w:t>先后</w:t>
      </w:r>
      <w:r>
        <w:rPr>
          <w:rFonts w:hint="eastAsia" w:ascii="仿宋" w:hAnsi="仿宋" w:eastAsia="仿宋" w:cs="Times New Roman"/>
          <w:sz w:val="28"/>
          <w:szCs w:val="28"/>
        </w:rPr>
        <w:t>被评为国家级</w:t>
      </w:r>
      <w:r>
        <w:rPr>
          <w:rFonts w:ascii="仿宋" w:hAnsi="仿宋" w:eastAsia="仿宋" w:cs="Times New Roman"/>
          <w:sz w:val="28"/>
          <w:szCs w:val="28"/>
        </w:rPr>
        <w:t>精品课程。</w:t>
      </w:r>
    </w:p>
    <w:p>
      <w:pPr>
        <w:numPr>
          <w:ilvl w:val="0"/>
          <w:numId w:val="3"/>
        </w:numPr>
        <w:spacing w:line="360" w:lineRule="auto"/>
        <w:rPr>
          <w:rFonts w:ascii="仿宋" w:hAnsi="仿宋" w:eastAsia="仿宋" w:cs="Times New Roman"/>
          <w:sz w:val="28"/>
          <w:szCs w:val="28"/>
        </w:rPr>
      </w:pPr>
      <w:r>
        <w:rPr>
          <w:rFonts w:ascii="仿宋" w:hAnsi="仿宋" w:eastAsia="仿宋" w:cs="Times New Roman"/>
          <w:sz w:val="28"/>
          <w:szCs w:val="28"/>
        </w:rPr>
        <w:t>《</w:t>
      </w:r>
      <w:r>
        <w:rPr>
          <w:rFonts w:hint="eastAsia" w:ascii="仿宋" w:hAnsi="仿宋" w:eastAsia="仿宋" w:cs="Times New Roman"/>
          <w:sz w:val="28"/>
          <w:szCs w:val="28"/>
        </w:rPr>
        <w:t>抽象</w:t>
      </w:r>
      <w:r>
        <w:rPr>
          <w:rFonts w:ascii="仿宋" w:hAnsi="仿宋" w:eastAsia="仿宋" w:cs="Times New Roman"/>
          <w:sz w:val="28"/>
          <w:szCs w:val="28"/>
        </w:rPr>
        <w:t>代数》</w:t>
      </w:r>
      <w:r>
        <w:rPr>
          <w:rFonts w:hint="eastAsia" w:ascii="仿宋" w:hAnsi="仿宋" w:eastAsia="仿宋" w:cs="Times New Roman"/>
          <w:sz w:val="28"/>
          <w:szCs w:val="28"/>
        </w:rPr>
        <w:t>和</w:t>
      </w:r>
      <w:r>
        <w:rPr>
          <w:rFonts w:ascii="仿宋" w:hAnsi="仿宋" w:eastAsia="仿宋" w:cs="Times New Roman"/>
          <w:sz w:val="28"/>
          <w:szCs w:val="28"/>
        </w:rPr>
        <w:t>《</w:t>
      </w:r>
      <w:r>
        <w:rPr>
          <w:rFonts w:hint="eastAsia" w:ascii="仿宋" w:hAnsi="仿宋" w:eastAsia="仿宋" w:cs="Times New Roman"/>
          <w:sz w:val="28"/>
          <w:szCs w:val="28"/>
        </w:rPr>
        <w:t>数学</w:t>
      </w:r>
      <w:r>
        <w:rPr>
          <w:rFonts w:ascii="仿宋" w:hAnsi="仿宋" w:eastAsia="仿宋" w:cs="Times New Roman"/>
          <w:sz w:val="28"/>
          <w:szCs w:val="28"/>
        </w:rPr>
        <w:t>文化》</w:t>
      </w:r>
      <w:r>
        <w:rPr>
          <w:rFonts w:hint="eastAsia" w:ascii="仿宋" w:hAnsi="仿宋" w:eastAsia="仿宋" w:cs="Times New Roman"/>
          <w:sz w:val="28"/>
          <w:szCs w:val="28"/>
        </w:rPr>
        <w:t>充分运用现代信息技术对课程资源和教学手段进行改革，2013年被教育部评为</w:t>
      </w:r>
      <w:r>
        <w:rPr>
          <w:rFonts w:ascii="仿宋" w:hAnsi="仿宋" w:eastAsia="仿宋" w:cs="Times New Roman"/>
          <w:sz w:val="28"/>
          <w:szCs w:val="28"/>
        </w:rPr>
        <w:t>首批国家精品资源共享课</w:t>
      </w:r>
      <w:r>
        <w:rPr>
          <w:rFonts w:hint="eastAsia" w:ascii="仿宋" w:hAnsi="仿宋" w:eastAsia="仿宋" w:cs="Times New Roman"/>
          <w:sz w:val="28"/>
          <w:szCs w:val="28"/>
        </w:rPr>
        <w:t>。</w:t>
      </w:r>
    </w:p>
    <w:p>
      <w:pPr>
        <w:numPr>
          <w:ilvl w:val="0"/>
          <w:numId w:val="3"/>
        </w:numPr>
        <w:spacing w:line="360" w:lineRule="auto"/>
        <w:rPr>
          <w:rFonts w:ascii="仿宋" w:hAnsi="仿宋" w:eastAsia="仿宋" w:cs="Times New Roman"/>
          <w:sz w:val="28"/>
          <w:szCs w:val="28"/>
        </w:rPr>
      </w:pPr>
      <w:r>
        <w:rPr>
          <w:rFonts w:ascii="仿宋" w:hAnsi="仿宋" w:eastAsia="仿宋" w:cs="Times New Roman"/>
          <w:sz w:val="28"/>
          <w:szCs w:val="28"/>
        </w:rPr>
        <w:t>《</w:t>
      </w:r>
      <w:r>
        <w:rPr>
          <w:rFonts w:hint="eastAsia" w:ascii="仿宋" w:hAnsi="仿宋" w:eastAsia="仿宋" w:cs="Times New Roman"/>
          <w:sz w:val="28"/>
          <w:szCs w:val="28"/>
        </w:rPr>
        <w:t>数学</w:t>
      </w:r>
      <w:r>
        <w:rPr>
          <w:rFonts w:ascii="仿宋" w:hAnsi="仿宋" w:eastAsia="仿宋" w:cs="Times New Roman"/>
          <w:sz w:val="28"/>
          <w:szCs w:val="28"/>
        </w:rPr>
        <w:t>文化》</w:t>
      </w:r>
      <w:r>
        <w:rPr>
          <w:rFonts w:hint="eastAsia" w:ascii="仿宋" w:hAnsi="仿宋" w:eastAsia="仿宋" w:cs="Times New Roman"/>
          <w:sz w:val="28"/>
          <w:szCs w:val="28"/>
        </w:rPr>
        <w:t>同时</w:t>
      </w:r>
      <w:r>
        <w:rPr>
          <w:rFonts w:ascii="仿宋" w:hAnsi="仿宋" w:eastAsia="仿宋" w:cs="Times New Roman"/>
          <w:sz w:val="28"/>
          <w:szCs w:val="28"/>
        </w:rPr>
        <w:t>被评为</w:t>
      </w:r>
      <w:r>
        <w:rPr>
          <w:rFonts w:hint="eastAsia" w:ascii="仿宋" w:hAnsi="仿宋" w:eastAsia="仿宋" w:cs="Times New Roman"/>
          <w:sz w:val="28"/>
          <w:szCs w:val="28"/>
        </w:rPr>
        <w:t>国家级精品视频公开课。</w:t>
      </w:r>
    </w:p>
    <w:p>
      <w:pPr>
        <w:numPr>
          <w:ilvl w:val="0"/>
          <w:numId w:val="3"/>
        </w:numPr>
        <w:spacing w:line="360" w:lineRule="auto"/>
        <w:rPr>
          <w:rFonts w:ascii="仿宋" w:hAnsi="仿宋" w:eastAsia="仿宋" w:cs="Times New Roman"/>
          <w:sz w:val="28"/>
          <w:szCs w:val="28"/>
        </w:rPr>
      </w:pPr>
      <w:r>
        <w:rPr>
          <w:rFonts w:hint="eastAsia" w:ascii="仿宋" w:hAnsi="仿宋" w:eastAsia="仿宋" w:cs="Times New Roman"/>
          <w:sz w:val="28"/>
          <w:szCs w:val="28"/>
        </w:rPr>
        <w:t>《数学文化十讲》</w:t>
      </w:r>
      <w:r>
        <w:rPr>
          <w:rFonts w:ascii="仿宋" w:hAnsi="仿宋" w:eastAsia="仿宋" w:cs="Times New Roman"/>
          <w:sz w:val="28"/>
          <w:szCs w:val="28"/>
        </w:rPr>
        <w:t>2018年</w:t>
      </w:r>
      <w:r>
        <w:rPr>
          <w:rFonts w:hint="eastAsia" w:ascii="仿宋" w:hAnsi="仿宋" w:eastAsia="仿宋" w:cs="Times New Roman"/>
          <w:sz w:val="28"/>
          <w:szCs w:val="28"/>
        </w:rPr>
        <w:t>被教育部评为首批国家级精品慕课，</w:t>
      </w:r>
      <w:r>
        <w:rPr>
          <w:rFonts w:ascii="仿宋" w:hAnsi="仿宋" w:eastAsia="仿宋" w:cs="Times New Roman"/>
          <w:sz w:val="28"/>
          <w:szCs w:val="28"/>
        </w:rPr>
        <w:t>2019年被高等教育出版社评为“最美慕课”</w:t>
      </w:r>
      <w:r>
        <w:rPr>
          <w:rFonts w:hint="eastAsia" w:ascii="仿宋" w:hAnsi="仿宋" w:eastAsia="仿宋" w:cs="Times New Roman"/>
          <w:sz w:val="28"/>
          <w:szCs w:val="28"/>
        </w:rPr>
        <w:t>。</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在不断</w:t>
      </w:r>
      <w:r>
        <w:rPr>
          <w:rFonts w:ascii="仿宋" w:hAnsi="仿宋" w:eastAsia="仿宋" w:cs="Times New Roman"/>
          <w:sz w:val="28"/>
          <w:szCs w:val="28"/>
        </w:rPr>
        <w:t>总结《</w:t>
      </w:r>
      <w:r>
        <w:rPr>
          <w:rFonts w:hint="eastAsia" w:ascii="仿宋" w:hAnsi="仿宋" w:eastAsia="仿宋" w:cs="Times New Roman"/>
          <w:sz w:val="28"/>
          <w:szCs w:val="28"/>
        </w:rPr>
        <w:t>数学文化》</w:t>
      </w:r>
      <w:r>
        <w:rPr>
          <w:rFonts w:ascii="仿宋" w:hAnsi="仿宋" w:eastAsia="仿宋" w:cs="Times New Roman"/>
          <w:sz w:val="28"/>
          <w:szCs w:val="28"/>
        </w:rPr>
        <w:t>取得的</w:t>
      </w:r>
      <w:r>
        <w:rPr>
          <w:rFonts w:hint="eastAsia" w:ascii="仿宋" w:hAnsi="仿宋" w:eastAsia="仿宋" w:cs="Times New Roman"/>
          <w:sz w:val="28"/>
          <w:szCs w:val="28"/>
        </w:rPr>
        <w:t>成绩和经验的基础上，着力在全国高校推广数学文化课程。目前，已有约</w:t>
      </w:r>
      <w:r>
        <w:rPr>
          <w:rFonts w:ascii="仿宋" w:hAnsi="仿宋" w:eastAsia="仿宋" w:cs="Times New Roman"/>
          <w:sz w:val="28"/>
          <w:szCs w:val="28"/>
        </w:rPr>
        <w:t>300</w:t>
      </w:r>
      <w:r>
        <w:rPr>
          <w:rFonts w:hint="eastAsia" w:ascii="仿宋" w:hAnsi="仿宋" w:eastAsia="仿宋" w:cs="Times New Roman"/>
          <w:sz w:val="28"/>
          <w:szCs w:val="28"/>
        </w:rPr>
        <w:t>余所</w:t>
      </w:r>
      <w:r>
        <w:rPr>
          <w:rFonts w:ascii="仿宋" w:hAnsi="仿宋" w:eastAsia="仿宋" w:cs="Times New Roman"/>
          <w:sz w:val="28"/>
          <w:szCs w:val="28"/>
        </w:rPr>
        <w:t>高校开设了数学文化类课程</w:t>
      </w:r>
      <w:r>
        <w:rPr>
          <w:rFonts w:hint="eastAsia" w:ascii="仿宋" w:hAnsi="仿宋" w:eastAsia="仿宋" w:cs="Times New Roman"/>
          <w:sz w:val="28"/>
          <w:szCs w:val="28"/>
        </w:rPr>
        <w:t>，成为我国高校最具规模、影响最大、效果最好的科学教育通识课程之一。</w:t>
      </w:r>
    </w:p>
    <w:p>
      <w:pPr>
        <w:pStyle w:val="2"/>
        <w:spacing w:line="360" w:lineRule="auto"/>
        <w:ind w:firstLine="630" w:firstLineChars="225"/>
        <w:rPr>
          <w:rFonts w:ascii="仿宋" w:hAnsi="仿宋" w:eastAsia="仿宋"/>
          <w:sz w:val="28"/>
          <w:szCs w:val="28"/>
        </w:rPr>
      </w:pPr>
      <w:r>
        <w:rPr>
          <w:rFonts w:hint="eastAsia" w:ascii="仿宋" w:hAnsi="仿宋" w:eastAsia="仿宋"/>
          <w:sz w:val="28"/>
          <w:szCs w:val="28"/>
        </w:rPr>
        <w:t>计算机类开设《操作系统》、《算法导论》等特色专业课，重视嵌入式系统、软件工程及系统能力培养，为直博开展国产自主可控芯片设计及关键系统软件、工业控制软件研制，为国家重大卡脖子工程研究奠定基础。这些课程聚焦国家前沿问题，属于计算机选修课程模块特色课程。</w:t>
      </w:r>
    </w:p>
    <w:p>
      <w:pPr>
        <w:pStyle w:val="2"/>
        <w:spacing w:line="360" w:lineRule="auto"/>
        <w:ind w:firstLine="630" w:firstLineChars="225"/>
        <w:rPr>
          <w:rFonts w:ascii="仿宋" w:hAnsi="仿宋" w:eastAsia="仿宋"/>
          <w:sz w:val="28"/>
          <w:szCs w:val="28"/>
        </w:rPr>
      </w:pPr>
      <w:r>
        <w:rPr>
          <w:rFonts w:hint="eastAsia" w:ascii="仿宋" w:hAnsi="仿宋" w:eastAsia="仿宋"/>
          <w:sz w:val="28"/>
          <w:szCs w:val="28"/>
        </w:rPr>
        <w:t>网络空间安全类开设《密码学》、《算法和协议中的安全机制及应用》等特色专业课，学习密码编码、密码分析、漏洞利用、信息隐藏等内容，针对国家卡脖子的密码科学、密码对抗等奠定基础。</w:t>
      </w:r>
    </w:p>
    <w:p>
      <w:pPr>
        <w:spacing w:line="360" w:lineRule="auto"/>
        <w:ind w:firstLine="151" w:firstLineChars="50"/>
        <w:rPr>
          <w:rFonts w:ascii="黑体" w:hAnsi="黑体" w:eastAsia="黑体"/>
          <w:b/>
          <w:sz w:val="30"/>
          <w:szCs w:val="30"/>
        </w:rPr>
      </w:pPr>
      <w:r>
        <w:rPr>
          <w:rFonts w:ascii="黑体" w:hAnsi="黑体" w:eastAsia="黑体" w:cs="Times New Roman"/>
          <w:b/>
          <w:sz w:val="30"/>
          <w:szCs w:val="30"/>
        </w:rPr>
        <w:t>六、配套保障</w:t>
      </w:r>
    </w:p>
    <w:p>
      <w:pPr>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1.组织保障</w:t>
      </w:r>
    </w:p>
    <w:p>
      <w:pPr>
        <w:spacing w:line="360" w:lineRule="auto"/>
        <w:ind w:firstLine="560" w:firstLineChars="200"/>
        <w:rPr>
          <w:rFonts w:ascii="仿宋" w:hAnsi="仿宋" w:eastAsia="仿宋" w:cs="Times New Roman"/>
          <w:bCs/>
          <w:sz w:val="28"/>
          <w:szCs w:val="28"/>
        </w:rPr>
      </w:pPr>
      <w:r>
        <w:rPr>
          <w:rFonts w:hint="eastAsia" w:ascii="仿宋" w:hAnsi="仿宋" w:eastAsia="仿宋" w:cs="Times New Roman"/>
          <w:sz w:val="28"/>
          <w:szCs w:val="28"/>
        </w:rPr>
        <w:t>数学</w:t>
      </w:r>
      <w:r>
        <w:rPr>
          <w:rFonts w:hint="eastAsia" w:ascii="仿宋" w:hAnsi="仿宋" w:eastAsia="仿宋" w:cs="Times New Roman"/>
          <w:bCs/>
          <w:sz w:val="28"/>
          <w:szCs w:val="28"/>
        </w:rPr>
        <w:t>强基计划的人才培养</w:t>
      </w:r>
      <w:r>
        <w:rPr>
          <w:rFonts w:ascii="仿宋" w:hAnsi="仿宋" w:eastAsia="仿宋" w:cs="Times New Roman"/>
          <w:bCs/>
          <w:sz w:val="28"/>
          <w:szCs w:val="28"/>
        </w:rPr>
        <w:t>管理体系</w:t>
      </w:r>
      <w:r>
        <w:rPr>
          <w:rFonts w:hint="eastAsia" w:ascii="仿宋" w:hAnsi="仿宋" w:eastAsia="仿宋" w:cs="Times New Roman"/>
          <w:bCs/>
          <w:sz w:val="28"/>
          <w:szCs w:val="28"/>
        </w:rPr>
        <w:t>明确</w:t>
      </w:r>
      <w:r>
        <w:rPr>
          <w:rFonts w:ascii="仿宋" w:hAnsi="仿宋" w:eastAsia="仿宋" w:cs="Times New Roman"/>
          <w:bCs/>
          <w:sz w:val="28"/>
          <w:szCs w:val="28"/>
        </w:rPr>
        <w:t>，</w:t>
      </w:r>
      <w:r>
        <w:rPr>
          <w:rFonts w:hint="eastAsia" w:ascii="仿宋" w:hAnsi="仿宋" w:eastAsia="仿宋" w:cs="Times New Roman"/>
          <w:bCs/>
          <w:sz w:val="28"/>
          <w:szCs w:val="28"/>
        </w:rPr>
        <w:t>以数学科学学院院长为总负责人，学术</w:t>
      </w:r>
      <w:r>
        <w:rPr>
          <w:rFonts w:ascii="仿宋" w:hAnsi="仿宋" w:eastAsia="仿宋" w:cs="Times New Roman"/>
          <w:bCs/>
          <w:sz w:val="28"/>
          <w:szCs w:val="28"/>
        </w:rPr>
        <w:t>带头人</w:t>
      </w:r>
      <w:r>
        <w:rPr>
          <w:rFonts w:hint="eastAsia" w:ascii="仿宋" w:hAnsi="仿宋" w:eastAsia="仿宋" w:cs="Times New Roman"/>
          <w:bCs/>
          <w:sz w:val="28"/>
          <w:szCs w:val="28"/>
        </w:rPr>
        <w:t>和教学名师担任</w:t>
      </w:r>
      <w:r>
        <w:rPr>
          <w:rFonts w:ascii="仿宋" w:hAnsi="仿宋" w:eastAsia="仿宋" w:cs="Times New Roman"/>
          <w:bCs/>
          <w:sz w:val="28"/>
          <w:szCs w:val="28"/>
        </w:rPr>
        <w:t>学业导师，</w:t>
      </w:r>
      <w:r>
        <w:rPr>
          <w:rFonts w:hint="eastAsia" w:ascii="仿宋" w:hAnsi="仿宋" w:eastAsia="仿宋" w:cs="Times New Roman"/>
          <w:bCs/>
          <w:sz w:val="28"/>
          <w:szCs w:val="28"/>
        </w:rPr>
        <w:t>由陈省身数学研究所、组合数学中心、统计与数据科学学院、计算机学院、网络空间安全学院、人工智能学院相关</w:t>
      </w:r>
      <w:r>
        <w:rPr>
          <w:rFonts w:ascii="仿宋" w:hAnsi="仿宋" w:eastAsia="仿宋" w:cs="Times New Roman"/>
          <w:bCs/>
          <w:sz w:val="28"/>
          <w:szCs w:val="28"/>
        </w:rPr>
        <w:t>职能部门</w:t>
      </w:r>
      <w:r>
        <w:rPr>
          <w:rFonts w:hint="eastAsia" w:ascii="仿宋" w:hAnsi="仿宋" w:eastAsia="仿宋" w:cs="Times New Roman"/>
          <w:bCs/>
          <w:sz w:val="28"/>
          <w:szCs w:val="28"/>
        </w:rPr>
        <w:t>组成</w:t>
      </w:r>
      <w:r>
        <w:rPr>
          <w:rFonts w:ascii="仿宋" w:hAnsi="仿宋" w:eastAsia="仿宋" w:cs="Times New Roman"/>
          <w:bCs/>
          <w:sz w:val="28"/>
          <w:szCs w:val="28"/>
        </w:rPr>
        <w:t>工作小组，提供</w:t>
      </w:r>
      <w:r>
        <w:rPr>
          <w:rFonts w:hint="eastAsia" w:ascii="仿宋" w:hAnsi="仿宋" w:eastAsia="仿宋" w:cs="Times New Roman"/>
          <w:bCs/>
          <w:sz w:val="28"/>
          <w:szCs w:val="28"/>
        </w:rPr>
        <w:t>有力</w:t>
      </w:r>
      <w:r>
        <w:rPr>
          <w:rFonts w:ascii="仿宋" w:hAnsi="仿宋" w:eastAsia="仿宋" w:cs="Times New Roman"/>
          <w:bCs/>
          <w:sz w:val="28"/>
          <w:szCs w:val="28"/>
        </w:rPr>
        <w:t>组织支持</w:t>
      </w:r>
      <w:r>
        <w:rPr>
          <w:rFonts w:hint="eastAsia" w:ascii="仿宋" w:hAnsi="仿宋" w:eastAsia="仿宋" w:cs="Times New Roman"/>
          <w:bCs/>
          <w:sz w:val="28"/>
          <w:szCs w:val="28"/>
        </w:rPr>
        <w:t>。</w:t>
      </w:r>
    </w:p>
    <w:p>
      <w:pPr>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2.经费保障</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学校</w:t>
      </w:r>
      <w:r>
        <w:rPr>
          <w:rFonts w:ascii="仿宋" w:hAnsi="仿宋" w:eastAsia="仿宋" w:cs="Times New Roman"/>
          <w:sz w:val="28"/>
          <w:szCs w:val="28"/>
        </w:rPr>
        <w:t>下拔的</w:t>
      </w:r>
      <w:r>
        <w:rPr>
          <w:rFonts w:hint="eastAsia" w:ascii="仿宋" w:hAnsi="仿宋" w:eastAsia="仿宋" w:cs="Times New Roman"/>
          <w:sz w:val="28"/>
          <w:szCs w:val="28"/>
        </w:rPr>
        <w:t>数学强基计划学生培养</w:t>
      </w:r>
      <w:r>
        <w:rPr>
          <w:rFonts w:ascii="仿宋" w:hAnsi="仿宋" w:eastAsia="仿宋" w:cs="Times New Roman"/>
          <w:sz w:val="28"/>
          <w:szCs w:val="28"/>
        </w:rPr>
        <w:t>经费</w:t>
      </w:r>
      <w:r>
        <w:rPr>
          <w:rFonts w:hint="eastAsia" w:ascii="仿宋" w:hAnsi="仿宋" w:eastAsia="仿宋" w:cs="Times New Roman"/>
          <w:sz w:val="28"/>
          <w:szCs w:val="28"/>
        </w:rPr>
        <w:t>专款专用</w:t>
      </w:r>
      <w:r>
        <w:rPr>
          <w:rFonts w:ascii="仿宋" w:hAnsi="仿宋" w:eastAsia="仿宋" w:cs="Times New Roman"/>
          <w:sz w:val="28"/>
          <w:szCs w:val="28"/>
        </w:rPr>
        <w:t>，制定合理的经费预算，</w:t>
      </w:r>
      <w:r>
        <w:rPr>
          <w:rFonts w:hint="eastAsia" w:ascii="仿宋" w:hAnsi="仿宋" w:eastAsia="仿宋" w:cs="Times New Roman"/>
          <w:sz w:val="28"/>
          <w:szCs w:val="28"/>
        </w:rPr>
        <w:t>为学生</w:t>
      </w:r>
      <w:r>
        <w:rPr>
          <w:rFonts w:ascii="仿宋" w:hAnsi="仿宋" w:eastAsia="仿宋" w:cs="Times New Roman"/>
          <w:sz w:val="28"/>
          <w:szCs w:val="28"/>
        </w:rPr>
        <w:t>招生选拔、出国交流、暑期学校</w:t>
      </w:r>
      <w:r>
        <w:rPr>
          <w:rFonts w:hint="eastAsia" w:ascii="仿宋" w:hAnsi="仿宋" w:eastAsia="仿宋" w:cs="Times New Roman"/>
          <w:sz w:val="28"/>
          <w:szCs w:val="28"/>
        </w:rPr>
        <w:t>、科研训练、购买</w:t>
      </w:r>
      <w:r>
        <w:rPr>
          <w:rFonts w:ascii="仿宋" w:hAnsi="仿宋" w:eastAsia="仿宋" w:cs="Times New Roman"/>
          <w:sz w:val="28"/>
          <w:szCs w:val="28"/>
        </w:rPr>
        <w:t>图书</w:t>
      </w:r>
      <w:r>
        <w:rPr>
          <w:rFonts w:hint="eastAsia" w:ascii="仿宋" w:hAnsi="仿宋" w:eastAsia="仿宋" w:cs="Times New Roman"/>
          <w:sz w:val="28"/>
          <w:szCs w:val="28"/>
        </w:rPr>
        <w:t>等工作</w:t>
      </w:r>
      <w:r>
        <w:rPr>
          <w:rFonts w:ascii="仿宋" w:hAnsi="仿宋" w:eastAsia="仿宋" w:cs="Times New Roman"/>
          <w:sz w:val="28"/>
          <w:szCs w:val="28"/>
        </w:rPr>
        <w:t>提供</w:t>
      </w:r>
      <w:r>
        <w:rPr>
          <w:rFonts w:hint="eastAsia" w:ascii="仿宋" w:hAnsi="仿宋" w:eastAsia="仿宋" w:cs="Times New Roman"/>
          <w:sz w:val="28"/>
          <w:szCs w:val="28"/>
        </w:rPr>
        <w:t>充足</w:t>
      </w:r>
      <w:r>
        <w:rPr>
          <w:rFonts w:ascii="仿宋" w:hAnsi="仿宋" w:eastAsia="仿宋" w:cs="Times New Roman"/>
          <w:sz w:val="28"/>
          <w:szCs w:val="28"/>
        </w:rPr>
        <w:t>经费</w:t>
      </w:r>
      <w:r>
        <w:rPr>
          <w:rFonts w:hint="eastAsia" w:ascii="仿宋" w:hAnsi="仿宋" w:eastAsia="仿宋" w:cs="Times New Roman"/>
          <w:sz w:val="28"/>
          <w:szCs w:val="28"/>
        </w:rPr>
        <w:t>支持</w:t>
      </w:r>
      <w:r>
        <w:rPr>
          <w:rFonts w:ascii="仿宋" w:hAnsi="仿宋" w:eastAsia="仿宋" w:cs="Times New Roman"/>
          <w:sz w:val="28"/>
          <w:szCs w:val="28"/>
        </w:rPr>
        <w:t>。</w:t>
      </w:r>
    </w:p>
    <w:p>
      <w:pPr>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3.师资保障</w:t>
      </w:r>
    </w:p>
    <w:p>
      <w:pPr>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数学强基计划学生由导师团队式指导。导师团队的负责人为中科院院士、国家杰出青年基金获得者、国家教学名师、人工智能学会首批智库专家、中国网络空间研究院的智库专家，以及其他各类高端人才。同时邀请菲尔兹奖</w:t>
      </w:r>
      <w:r>
        <w:rPr>
          <w:rFonts w:ascii="仿宋" w:hAnsi="仿宋" w:eastAsia="仿宋" w:cs="Times New Roman"/>
          <w:sz w:val="28"/>
          <w:szCs w:val="28"/>
        </w:rPr>
        <w:t>获得者</w:t>
      </w:r>
      <w:r>
        <w:rPr>
          <w:rFonts w:hint="eastAsia" w:ascii="仿宋" w:hAnsi="仿宋" w:eastAsia="仿宋" w:cs="Times New Roman"/>
          <w:sz w:val="28"/>
          <w:szCs w:val="28"/>
        </w:rPr>
        <w:t>、两院院士</w:t>
      </w:r>
      <w:r>
        <w:rPr>
          <w:rFonts w:ascii="仿宋" w:hAnsi="仿宋" w:eastAsia="仿宋" w:cs="Times New Roman"/>
          <w:sz w:val="28"/>
          <w:szCs w:val="28"/>
        </w:rPr>
        <w:t>、</w:t>
      </w:r>
      <w:r>
        <w:rPr>
          <w:rFonts w:hint="eastAsia" w:ascii="仿宋" w:hAnsi="仿宋" w:eastAsia="仿宋" w:cs="Times New Roman"/>
          <w:sz w:val="28"/>
          <w:szCs w:val="28"/>
        </w:rPr>
        <w:t>国内外著名学术</w:t>
      </w:r>
      <w:r>
        <w:rPr>
          <w:rFonts w:ascii="仿宋" w:hAnsi="仿宋" w:eastAsia="仿宋" w:cs="Times New Roman"/>
          <w:sz w:val="28"/>
          <w:szCs w:val="28"/>
        </w:rPr>
        <w:t>大师、行业精英</w:t>
      </w:r>
      <w:r>
        <w:rPr>
          <w:rFonts w:hint="eastAsia" w:ascii="仿宋" w:hAnsi="仿宋" w:eastAsia="仿宋" w:cs="Times New Roman"/>
          <w:sz w:val="28"/>
          <w:szCs w:val="28"/>
        </w:rPr>
        <w:t>开设短期课程讨论班、数学前沿</w:t>
      </w:r>
      <w:r>
        <w:rPr>
          <w:rFonts w:ascii="仿宋" w:hAnsi="仿宋" w:eastAsia="仿宋" w:cs="Times New Roman"/>
          <w:sz w:val="28"/>
          <w:szCs w:val="28"/>
        </w:rPr>
        <w:t>讲座等。</w:t>
      </w:r>
    </w:p>
    <w:p>
      <w:pPr>
        <w:spacing w:line="360" w:lineRule="auto"/>
        <w:ind w:firstLine="422" w:firstLineChars="150"/>
        <w:rPr>
          <w:rFonts w:ascii="仿宋" w:hAnsi="仿宋" w:eastAsia="仿宋" w:cs="Times New Roman"/>
          <w:sz w:val="28"/>
          <w:szCs w:val="28"/>
        </w:rPr>
      </w:pPr>
      <w:r>
        <w:rPr>
          <w:rFonts w:hint="eastAsia" w:ascii="仿宋" w:hAnsi="仿宋" w:eastAsia="仿宋" w:cs="Times New Roman"/>
          <w:b/>
          <w:sz w:val="28"/>
          <w:szCs w:val="28"/>
        </w:rPr>
        <w:t>4.政策保障</w:t>
      </w:r>
    </w:p>
    <w:p>
      <w:pPr>
        <w:spacing w:line="360" w:lineRule="auto"/>
        <w:ind w:firstLine="420" w:firstLineChars="150"/>
        <w:rPr>
          <w:rFonts w:ascii="仿宋" w:hAnsi="仿宋" w:eastAsia="仿宋" w:cs="Times New Roman"/>
          <w:sz w:val="28"/>
          <w:szCs w:val="28"/>
        </w:rPr>
      </w:pPr>
      <w:r>
        <w:rPr>
          <w:rFonts w:hint="eastAsia" w:ascii="仿宋" w:hAnsi="仿宋" w:eastAsia="仿宋" w:cs="Times New Roman"/>
          <w:sz w:val="28"/>
          <w:szCs w:val="28"/>
        </w:rPr>
        <w:t>为数学强基计划学生提供</w:t>
      </w:r>
      <w:r>
        <w:rPr>
          <w:rFonts w:ascii="仿宋" w:hAnsi="仿宋" w:eastAsia="仿宋" w:cs="Times New Roman"/>
          <w:sz w:val="28"/>
          <w:szCs w:val="28"/>
        </w:rPr>
        <w:t>免试推荐</w:t>
      </w:r>
      <w:r>
        <w:rPr>
          <w:rFonts w:hint="eastAsia" w:ascii="仿宋" w:hAnsi="仿宋" w:eastAsia="仿宋" w:cs="Times New Roman"/>
          <w:sz w:val="28"/>
          <w:szCs w:val="28"/>
        </w:rPr>
        <w:t>研究生、博士指标，资助强基计划学生在本科生阶段至少一学期国际顶尖高校交流的学习经历，并享受强基计划专项奖学金。</w:t>
      </w:r>
    </w:p>
    <w:p>
      <w:pPr>
        <w:spacing w:line="360" w:lineRule="auto"/>
        <w:ind w:firstLine="422" w:firstLineChars="150"/>
        <w:rPr>
          <w:rFonts w:ascii="仿宋" w:hAnsi="仿宋" w:eastAsia="仿宋" w:cs="Times New Roman"/>
          <w:b/>
          <w:sz w:val="28"/>
          <w:szCs w:val="28"/>
        </w:rPr>
      </w:pPr>
      <w:r>
        <w:rPr>
          <w:rFonts w:hint="eastAsia" w:ascii="仿宋" w:hAnsi="仿宋" w:eastAsia="仿宋" w:cs="Times New Roman"/>
          <w:b/>
          <w:sz w:val="28"/>
          <w:szCs w:val="28"/>
        </w:rPr>
        <w:t>5</w:t>
      </w:r>
      <w:r>
        <w:rPr>
          <w:rFonts w:ascii="仿宋" w:hAnsi="仿宋" w:eastAsia="仿宋" w:cs="Times New Roman"/>
          <w:b/>
          <w:sz w:val="28"/>
          <w:szCs w:val="28"/>
        </w:rPr>
        <w:t>.</w:t>
      </w:r>
      <w:r>
        <w:rPr>
          <w:rFonts w:hint="eastAsia" w:ascii="仿宋" w:hAnsi="仿宋" w:eastAsia="仿宋" w:cs="Times New Roman"/>
          <w:b/>
          <w:sz w:val="28"/>
          <w:szCs w:val="28"/>
        </w:rPr>
        <w:t>南开数学图书馆</w:t>
      </w:r>
    </w:p>
    <w:p>
      <w:pPr>
        <w:spacing w:line="360" w:lineRule="auto"/>
        <w:ind w:firstLine="420" w:firstLineChars="150"/>
        <w:rPr>
          <w:rFonts w:ascii="仿宋" w:hAnsi="仿宋" w:eastAsia="仿宋" w:cs="Times New Roman"/>
          <w:sz w:val="28"/>
          <w:szCs w:val="28"/>
        </w:rPr>
      </w:pPr>
      <w:r>
        <w:rPr>
          <w:rFonts w:hint="eastAsia" w:ascii="仿宋" w:hAnsi="仿宋" w:eastAsia="仿宋"/>
          <w:sz w:val="28"/>
          <w:szCs w:val="28"/>
        </w:rPr>
        <w:t>经过多年积累，数学学科拥有国内最好的数学图书馆之一——南开数学图书馆，</w:t>
      </w:r>
      <w:r>
        <w:rPr>
          <w:rFonts w:hint="eastAsia" w:ascii="仿宋" w:hAnsi="仿宋" w:eastAsia="仿宋" w:cs="Times New Roman"/>
          <w:sz w:val="28"/>
          <w:szCs w:val="28"/>
        </w:rPr>
        <w:t>馆藏丰富，</w:t>
      </w:r>
      <w:r>
        <w:rPr>
          <w:rFonts w:ascii="仿宋" w:hAnsi="仿宋" w:eastAsia="仿宋" w:cs="Times New Roman"/>
          <w:sz w:val="28"/>
          <w:szCs w:val="28"/>
        </w:rPr>
        <w:t>大量原版书籍为学生</w:t>
      </w:r>
      <w:r>
        <w:rPr>
          <w:rFonts w:hint="eastAsia" w:ascii="仿宋" w:hAnsi="仿宋" w:eastAsia="仿宋" w:cs="Times New Roman"/>
          <w:sz w:val="28"/>
          <w:szCs w:val="28"/>
        </w:rPr>
        <w:t>科研提供有力支撑和良好学习环境</w:t>
      </w:r>
      <w:r>
        <w:rPr>
          <w:rFonts w:ascii="仿宋" w:hAnsi="仿宋" w:eastAsia="仿宋" w:cs="Times New Roman"/>
          <w:sz w:val="28"/>
          <w:szCs w:val="28"/>
        </w:rPr>
        <w:t>。</w:t>
      </w:r>
    </w:p>
    <w:p>
      <w:pPr>
        <w:spacing w:line="360" w:lineRule="auto"/>
        <w:ind w:firstLine="422" w:firstLineChars="150"/>
        <w:rPr>
          <w:rFonts w:ascii="仿宋" w:hAnsi="仿宋" w:eastAsia="仿宋" w:cs="Times New Roman"/>
          <w:b/>
          <w:sz w:val="28"/>
          <w:szCs w:val="28"/>
        </w:rPr>
      </w:pPr>
    </w:p>
    <w:p>
      <w:pPr>
        <w:spacing w:line="360" w:lineRule="auto"/>
        <w:ind w:firstLine="420" w:firstLineChars="150"/>
        <w:rPr>
          <w:rFonts w:ascii="仿宋" w:hAnsi="仿宋" w:eastAsia="仿宋"/>
          <w:sz w:val="28"/>
          <w:szCs w:val="28"/>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dobeSongStd-Light">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960" w:firstLineChars="2200"/>
    </w:pPr>
    <w:sdt>
      <w:sdtPr>
        <w:id w:val="1527450"/>
        <w:docPartObj>
          <w:docPartGallery w:val="autotext"/>
        </w:docPartObj>
      </w:sdtPr>
      <w:sdtContent>
        <w:r>
          <w:fldChar w:fldCharType="begin"/>
        </w:r>
        <w:r>
          <w:instrText xml:space="preserve"> PAGE   \* MERGEFORMAT </w:instrText>
        </w:r>
        <w:r>
          <w:fldChar w:fldCharType="separate"/>
        </w:r>
        <w:r>
          <w:rPr>
            <w:lang w:val="zh-CN"/>
          </w:rPr>
          <w:t>6</w:t>
        </w:r>
        <w:r>
          <w:rPr>
            <w:lang w:val="zh-CN"/>
          </w:rPr>
          <w:fldChar w:fldCharType="end"/>
        </w:r>
      </w:sdtContent>
    </w:sdt>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37635"/>
    <w:multiLevelType w:val="multilevel"/>
    <w:tmpl w:val="0B237635"/>
    <w:lvl w:ilvl="0" w:tentative="0">
      <w:start w:val="1"/>
      <w:numFmt w:val="bullet"/>
      <w:lvlText w:val=""/>
      <w:lvlJc w:val="left"/>
      <w:pPr>
        <w:ind w:left="1020" w:hanging="420"/>
      </w:pPr>
      <w:rPr>
        <w:rFonts w:hint="default" w:ascii="Wingdings" w:hAnsi="Wingdings"/>
      </w:rPr>
    </w:lvl>
    <w:lvl w:ilvl="1" w:tentative="0">
      <w:start w:val="1"/>
      <w:numFmt w:val="bullet"/>
      <w:lvlText w:val=""/>
      <w:lvlJc w:val="left"/>
      <w:pPr>
        <w:ind w:left="1440" w:hanging="420"/>
      </w:pPr>
      <w:rPr>
        <w:rFonts w:hint="default" w:ascii="Wingdings" w:hAnsi="Wingdings"/>
      </w:rPr>
    </w:lvl>
    <w:lvl w:ilvl="2" w:tentative="0">
      <w:start w:val="1"/>
      <w:numFmt w:val="bullet"/>
      <w:lvlText w:val=""/>
      <w:lvlJc w:val="left"/>
      <w:pPr>
        <w:ind w:left="1860" w:hanging="420"/>
      </w:pPr>
      <w:rPr>
        <w:rFonts w:hint="default" w:ascii="Wingdings" w:hAnsi="Wingdings"/>
      </w:rPr>
    </w:lvl>
    <w:lvl w:ilvl="3" w:tentative="0">
      <w:start w:val="1"/>
      <w:numFmt w:val="bullet"/>
      <w:lvlText w:val=""/>
      <w:lvlJc w:val="left"/>
      <w:pPr>
        <w:ind w:left="2280" w:hanging="420"/>
      </w:pPr>
      <w:rPr>
        <w:rFonts w:hint="default" w:ascii="Wingdings" w:hAnsi="Wingdings"/>
      </w:rPr>
    </w:lvl>
    <w:lvl w:ilvl="4" w:tentative="0">
      <w:start w:val="1"/>
      <w:numFmt w:val="bullet"/>
      <w:lvlText w:val=""/>
      <w:lvlJc w:val="left"/>
      <w:pPr>
        <w:ind w:left="2700" w:hanging="420"/>
      </w:pPr>
      <w:rPr>
        <w:rFonts w:hint="default" w:ascii="Wingdings" w:hAnsi="Wingdings"/>
      </w:rPr>
    </w:lvl>
    <w:lvl w:ilvl="5" w:tentative="0">
      <w:start w:val="1"/>
      <w:numFmt w:val="bullet"/>
      <w:lvlText w:val=""/>
      <w:lvlJc w:val="left"/>
      <w:pPr>
        <w:ind w:left="3120" w:hanging="420"/>
      </w:pPr>
      <w:rPr>
        <w:rFonts w:hint="default" w:ascii="Wingdings" w:hAnsi="Wingdings"/>
      </w:rPr>
    </w:lvl>
    <w:lvl w:ilvl="6" w:tentative="0">
      <w:start w:val="1"/>
      <w:numFmt w:val="bullet"/>
      <w:lvlText w:val=""/>
      <w:lvlJc w:val="left"/>
      <w:pPr>
        <w:ind w:left="3540" w:hanging="420"/>
      </w:pPr>
      <w:rPr>
        <w:rFonts w:hint="default" w:ascii="Wingdings" w:hAnsi="Wingdings"/>
      </w:rPr>
    </w:lvl>
    <w:lvl w:ilvl="7" w:tentative="0">
      <w:start w:val="1"/>
      <w:numFmt w:val="bullet"/>
      <w:lvlText w:val=""/>
      <w:lvlJc w:val="left"/>
      <w:pPr>
        <w:ind w:left="3960" w:hanging="420"/>
      </w:pPr>
      <w:rPr>
        <w:rFonts w:hint="default" w:ascii="Wingdings" w:hAnsi="Wingdings"/>
      </w:rPr>
    </w:lvl>
    <w:lvl w:ilvl="8" w:tentative="0">
      <w:start w:val="1"/>
      <w:numFmt w:val="bullet"/>
      <w:lvlText w:val=""/>
      <w:lvlJc w:val="left"/>
      <w:pPr>
        <w:ind w:left="4380" w:hanging="420"/>
      </w:pPr>
      <w:rPr>
        <w:rFonts w:hint="default" w:ascii="Wingdings" w:hAnsi="Wingdings"/>
      </w:rPr>
    </w:lvl>
  </w:abstractNum>
  <w:abstractNum w:abstractNumId="1">
    <w:nsid w:val="267931C6"/>
    <w:multiLevelType w:val="multilevel"/>
    <w:tmpl w:val="267931C6"/>
    <w:lvl w:ilvl="0" w:tentative="0">
      <w:start w:val="1"/>
      <w:numFmt w:val="bullet"/>
      <w:lvlText w:val=""/>
      <w:lvlJc w:val="left"/>
      <w:pPr>
        <w:ind w:left="562"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5F2F67D7"/>
    <w:multiLevelType w:val="multilevel"/>
    <w:tmpl w:val="5F2F67D7"/>
    <w:lvl w:ilvl="0" w:tentative="0">
      <w:start w:val="1"/>
      <w:numFmt w:val="bullet"/>
      <w:suff w:val="space"/>
      <w:lvlText w:val=""/>
      <w:lvlJc w:val="left"/>
      <w:pPr>
        <w:ind w:left="84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62070"/>
    <w:rsid w:val="00000DE0"/>
    <w:rsid w:val="00004F01"/>
    <w:rsid w:val="000129ED"/>
    <w:rsid w:val="000173CF"/>
    <w:rsid w:val="00024F56"/>
    <w:rsid w:val="000460A3"/>
    <w:rsid w:val="00051326"/>
    <w:rsid w:val="00051ED6"/>
    <w:rsid w:val="00062F3D"/>
    <w:rsid w:val="000715B9"/>
    <w:rsid w:val="0007260F"/>
    <w:rsid w:val="0007314B"/>
    <w:rsid w:val="00073810"/>
    <w:rsid w:val="00084DCA"/>
    <w:rsid w:val="00090F61"/>
    <w:rsid w:val="00092ADB"/>
    <w:rsid w:val="00095807"/>
    <w:rsid w:val="00096EE5"/>
    <w:rsid w:val="000A0F91"/>
    <w:rsid w:val="000B66D4"/>
    <w:rsid w:val="000C71DC"/>
    <w:rsid w:val="000E23D1"/>
    <w:rsid w:val="00101802"/>
    <w:rsid w:val="00105BB3"/>
    <w:rsid w:val="001119EA"/>
    <w:rsid w:val="00123824"/>
    <w:rsid w:val="0014208E"/>
    <w:rsid w:val="00142CD1"/>
    <w:rsid w:val="00144C70"/>
    <w:rsid w:val="001522FE"/>
    <w:rsid w:val="00152635"/>
    <w:rsid w:val="00153F30"/>
    <w:rsid w:val="001573D7"/>
    <w:rsid w:val="00176748"/>
    <w:rsid w:val="0018184B"/>
    <w:rsid w:val="0019311D"/>
    <w:rsid w:val="001A2E32"/>
    <w:rsid w:val="001B4723"/>
    <w:rsid w:val="001B70DD"/>
    <w:rsid w:val="001D0940"/>
    <w:rsid w:val="001D1369"/>
    <w:rsid w:val="001D1E4A"/>
    <w:rsid w:val="001D51CD"/>
    <w:rsid w:val="001D7B19"/>
    <w:rsid w:val="00201457"/>
    <w:rsid w:val="00221186"/>
    <w:rsid w:val="00225921"/>
    <w:rsid w:val="00226CC7"/>
    <w:rsid w:val="00237909"/>
    <w:rsid w:val="00240F99"/>
    <w:rsid w:val="00251BD9"/>
    <w:rsid w:val="00256AD8"/>
    <w:rsid w:val="00257AE3"/>
    <w:rsid w:val="0026158B"/>
    <w:rsid w:val="0027134C"/>
    <w:rsid w:val="00271661"/>
    <w:rsid w:val="0027621B"/>
    <w:rsid w:val="00277977"/>
    <w:rsid w:val="00294BE6"/>
    <w:rsid w:val="00294FA6"/>
    <w:rsid w:val="00296148"/>
    <w:rsid w:val="002A52C2"/>
    <w:rsid w:val="002B5E40"/>
    <w:rsid w:val="002B7886"/>
    <w:rsid w:val="002C0879"/>
    <w:rsid w:val="002C2F94"/>
    <w:rsid w:val="002C4924"/>
    <w:rsid w:val="002C732B"/>
    <w:rsid w:val="002D3CCC"/>
    <w:rsid w:val="002D5F5A"/>
    <w:rsid w:val="002E1A36"/>
    <w:rsid w:val="002F354D"/>
    <w:rsid w:val="002F47FE"/>
    <w:rsid w:val="00300D23"/>
    <w:rsid w:val="003040D5"/>
    <w:rsid w:val="00304A14"/>
    <w:rsid w:val="00306023"/>
    <w:rsid w:val="003124D9"/>
    <w:rsid w:val="00315061"/>
    <w:rsid w:val="003265EE"/>
    <w:rsid w:val="003267B5"/>
    <w:rsid w:val="00330B88"/>
    <w:rsid w:val="00334FA4"/>
    <w:rsid w:val="00335F56"/>
    <w:rsid w:val="00337B4C"/>
    <w:rsid w:val="00347305"/>
    <w:rsid w:val="00347E0E"/>
    <w:rsid w:val="00374BAC"/>
    <w:rsid w:val="00380DE1"/>
    <w:rsid w:val="0039349C"/>
    <w:rsid w:val="00397E5E"/>
    <w:rsid w:val="003A173F"/>
    <w:rsid w:val="003A2B53"/>
    <w:rsid w:val="003B663F"/>
    <w:rsid w:val="003C0B4D"/>
    <w:rsid w:val="003D06A8"/>
    <w:rsid w:val="003D5C7D"/>
    <w:rsid w:val="003D7256"/>
    <w:rsid w:val="003E0D85"/>
    <w:rsid w:val="003E13E3"/>
    <w:rsid w:val="003F0694"/>
    <w:rsid w:val="003F45EC"/>
    <w:rsid w:val="003F6A0A"/>
    <w:rsid w:val="00400A62"/>
    <w:rsid w:val="00413F6F"/>
    <w:rsid w:val="004325C0"/>
    <w:rsid w:val="00444D58"/>
    <w:rsid w:val="00454C81"/>
    <w:rsid w:val="004558EB"/>
    <w:rsid w:val="0045677F"/>
    <w:rsid w:val="00465404"/>
    <w:rsid w:val="004721CB"/>
    <w:rsid w:val="00472FC2"/>
    <w:rsid w:val="00481C15"/>
    <w:rsid w:val="00482F2E"/>
    <w:rsid w:val="004949A5"/>
    <w:rsid w:val="0049695D"/>
    <w:rsid w:val="004A245B"/>
    <w:rsid w:val="004A35EC"/>
    <w:rsid w:val="004B036D"/>
    <w:rsid w:val="004C2D4B"/>
    <w:rsid w:val="004C65C2"/>
    <w:rsid w:val="004C7CC3"/>
    <w:rsid w:val="004D1C16"/>
    <w:rsid w:val="004D609E"/>
    <w:rsid w:val="004D7E60"/>
    <w:rsid w:val="004F049A"/>
    <w:rsid w:val="004F055F"/>
    <w:rsid w:val="0050598F"/>
    <w:rsid w:val="00512E76"/>
    <w:rsid w:val="00527F2E"/>
    <w:rsid w:val="00533C18"/>
    <w:rsid w:val="005466DB"/>
    <w:rsid w:val="00546F32"/>
    <w:rsid w:val="0054785A"/>
    <w:rsid w:val="00551B97"/>
    <w:rsid w:val="00562070"/>
    <w:rsid w:val="00570940"/>
    <w:rsid w:val="00581A1F"/>
    <w:rsid w:val="005827CB"/>
    <w:rsid w:val="00586379"/>
    <w:rsid w:val="00586CF0"/>
    <w:rsid w:val="00590C18"/>
    <w:rsid w:val="00593A7B"/>
    <w:rsid w:val="00593E3B"/>
    <w:rsid w:val="00597C33"/>
    <w:rsid w:val="005A4C8E"/>
    <w:rsid w:val="005A7912"/>
    <w:rsid w:val="005B6D84"/>
    <w:rsid w:val="005D529F"/>
    <w:rsid w:val="005D56EA"/>
    <w:rsid w:val="005E2864"/>
    <w:rsid w:val="005E5844"/>
    <w:rsid w:val="005E75DE"/>
    <w:rsid w:val="005F692C"/>
    <w:rsid w:val="00603EAE"/>
    <w:rsid w:val="006239B3"/>
    <w:rsid w:val="00636826"/>
    <w:rsid w:val="00637310"/>
    <w:rsid w:val="00640901"/>
    <w:rsid w:val="0065495D"/>
    <w:rsid w:val="0065560A"/>
    <w:rsid w:val="00664F97"/>
    <w:rsid w:val="00666CD5"/>
    <w:rsid w:val="00672615"/>
    <w:rsid w:val="006726AA"/>
    <w:rsid w:val="0068119A"/>
    <w:rsid w:val="00682747"/>
    <w:rsid w:val="00684DC6"/>
    <w:rsid w:val="0068566F"/>
    <w:rsid w:val="006863AB"/>
    <w:rsid w:val="0069481D"/>
    <w:rsid w:val="00695799"/>
    <w:rsid w:val="006A5CED"/>
    <w:rsid w:val="006B7351"/>
    <w:rsid w:val="006C663E"/>
    <w:rsid w:val="006C6CE5"/>
    <w:rsid w:val="006E01A5"/>
    <w:rsid w:val="006E68AA"/>
    <w:rsid w:val="006F001F"/>
    <w:rsid w:val="006F4A35"/>
    <w:rsid w:val="006F549D"/>
    <w:rsid w:val="006F5B02"/>
    <w:rsid w:val="007002D0"/>
    <w:rsid w:val="007041F4"/>
    <w:rsid w:val="00705F87"/>
    <w:rsid w:val="007102CE"/>
    <w:rsid w:val="00713856"/>
    <w:rsid w:val="00731F95"/>
    <w:rsid w:val="00735230"/>
    <w:rsid w:val="0073650B"/>
    <w:rsid w:val="00737F03"/>
    <w:rsid w:val="0074197C"/>
    <w:rsid w:val="007464A0"/>
    <w:rsid w:val="00751A15"/>
    <w:rsid w:val="007661BF"/>
    <w:rsid w:val="0077274B"/>
    <w:rsid w:val="00772F31"/>
    <w:rsid w:val="007846D4"/>
    <w:rsid w:val="00784929"/>
    <w:rsid w:val="0079481B"/>
    <w:rsid w:val="007970A6"/>
    <w:rsid w:val="00797478"/>
    <w:rsid w:val="00797A4E"/>
    <w:rsid w:val="007A65B2"/>
    <w:rsid w:val="007A6F8F"/>
    <w:rsid w:val="007B471A"/>
    <w:rsid w:val="007C2219"/>
    <w:rsid w:val="007C2BB8"/>
    <w:rsid w:val="007C2C20"/>
    <w:rsid w:val="007D7F70"/>
    <w:rsid w:val="007E6ED2"/>
    <w:rsid w:val="00801F6B"/>
    <w:rsid w:val="00804954"/>
    <w:rsid w:val="0081461A"/>
    <w:rsid w:val="00821B95"/>
    <w:rsid w:val="00854924"/>
    <w:rsid w:val="00862661"/>
    <w:rsid w:val="008643C2"/>
    <w:rsid w:val="0086449C"/>
    <w:rsid w:val="0086611D"/>
    <w:rsid w:val="00867DC4"/>
    <w:rsid w:val="00871642"/>
    <w:rsid w:val="00875872"/>
    <w:rsid w:val="008905B0"/>
    <w:rsid w:val="0089302F"/>
    <w:rsid w:val="00893A1C"/>
    <w:rsid w:val="008943EE"/>
    <w:rsid w:val="0089664B"/>
    <w:rsid w:val="008A499C"/>
    <w:rsid w:val="008B281A"/>
    <w:rsid w:val="008B6755"/>
    <w:rsid w:val="008C5188"/>
    <w:rsid w:val="008C5E54"/>
    <w:rsid w:val="008C769F"/>
    <w:rsid w:val="008D3C53"/>
    <w:rsid w:val="008D72C3"/>
    <w:rsid w:val="008E1500"/>
    <w:rsid w:val="008E5420"/>
    <w:rsid w:val="008E5FB3"/>
    <w:rsid w:val="008E7098"/>
    <w:rsid w:val="008F54A4"/>
    <w:rsid w:val="009011EA"/>
    <w:rsid w:val="00902DC1"/>
    <w:rsid w:val="009135BE"/>
    <w:rsid w:val="00924E0C"/>
    <w:rsid w:val="00925A72"/>
    <w:rsid w:val="0093256D"/>
    <w:rsid w:val="009361E5"/>
    <w:rsid w:val="00946913"/>
    <w:rsid w:val="00956B01"/>
    <w:rsid w:val="0096772B"/>
    <w:rsid w:val="00974685"/>
    <w:rsid w:val="009832D6"/>
    <w:rsid w:val="00983D22"/>
    <w:rsid w:val="00997E58"/>
    <w:rsid w:val="009A229B"/>
    <w:rsid w:val="009B6DC1"/>
    <w:rsid w:val="009C574C"/>
    <w:rsid w:val="009D0253"/>
    <w:rsid w:val="009E3786"/>
    <w:rsid w:val="009F4493"/>
    <w:rsid w:val="009F589C"/>
    <w:rsid w:val="00A0231E"/>
    <w:rsid w:val="00A04DB5"/>
    <w:rsid w:val="00A20614"/>
    <w:rsid w:val="00A24CB1"/>
    <w:rsid w:val="00A27171"/>
    <w:rsid w:val="00A342EA"/>
    <w:rsid w:val="00A37EC4"/>
    <w:rsid w:val="00A42612"/>
    <w:rsid w:val="00A43B4F"/>
    <w:rsid w:val="00A55EAB"/>
    <w:rsid w:val="00A878BE"/>
    <w:rsid w:val="00A8793B"/>
    <w:rsid w:val="00A9075B"/>
    <w:rsid w:val="00AA7574"/>
    <w:rsid w:val="00AB3C3B"/>
    <w:rsid w:val="00AB3EA2"/>
    <w:rsid w:val="00AC4241"/>
    <w:rsid w:val="00AC699A"/>
    <w:rsid w:val="00AD32C8"/>
    <w:rsid w:val="00AD3F96"/>
    <w:rsid w:val="00AE4C74"/>
    <w:rsid w:val="00AF2DFD"/>
    <w:rsid w:val="00B062DC"/>
    <w:rsid w:val="00B22192"/>
    <w:rsid w:val="00B22511"/>
    <w:rsid w:val="00B22658"/>
    <w:rsid w:val="00B27330"/>
    <w:rsid w:val="00B30F61"/>
    <w:rsid w:val="00B375A0"/>
    <w:rsid w:val="00B41C1F"/>
    <w:rsid w:val="00B42682"/>
    <w:rsid w:val="00B572F1"/>
    <w:rsid w:val="00B6158B"/>
    <w:rsid w:val="00B718C1"/>
    <w:rsid w:val="00B71BFD"/>
    <w:rsid w:val="00B819C0"/>
    <w:rsid w:val="00B83578"/>
    <w:rsid w:val="00B83991"/>
    <w:rsid w:val="00B871D9"/>
    <w:rsid w:val="00B960CF"/>
    <w:rsid w:val="00BA3578"/>
    <w:rsid w:val="00BA60EC"/>
    <w:rsid w:val="00BB0836"/>
    <w:rsid w:val="00BB28A2"/>
    <w:rsid w:val="00BB2DF7"/>
    <w:rsid w:val="00BC0EAF"/>
    <w:rsid w:val="00BC6D8C"/>
    <w:rsid w:val="00BD4730"/>
    <w:rsid w:val="00BD7F39"/>
    <w:rsid w:val="00BF402B"/>
    <w:rsid w:val="00BF6FC4"/>
    <w:rsid w:val="00C04C9B"/>
    <w:rsid w:val="00C11247"/>
    <w:rsid w:val="00C17BB1"/>
    <w:rsid w:val="00C224A6"/>
    <w:rsid w:val="00C2387D"/>
    <w:rsid w:val="00C23FBA"/>
    <w:rsid w:val="00C2482C"/>
    <w:rsid w:val="00C249EB"/>
    <w:rsid w:val="00C257FD"/>
    <w:rsid w:val="00C3689E"/>
    <w:rsid w:val="00C53394"/>
    <w:rsid w:val="00C767B6"/>
    <w:rsid w:val="00C76E01"/>
    <w:rsid w:val="00C827B1"/>
    <w:rsid w:val="00C8655A"/>
    <w:rsid w:val="00C87440"/>
    <w:rsid w:val="00C9435F"/>
    <w:rsid w:val="00CA1959"/>
    <w:rsid w:val="00CA6DBF"/>
    <w:rsid w:val="00CB5CE1"/>
    <w:rsid w:val="00CC5C71"/>
    <w:rsid w:val="00CE021D"/>
    <w:rsid w:val="00CE1CB1"/>
    <w:rsid w:val="00CE636F"/>
    <w:rsid w:val="00CF561C"/>
    <w:rsid w:val="00CF6DE4"/>
    <w:rsid w:val="00D13CCD"/>
    <w:rsid w:val="00D2232A"/>
    <w:rsid w:val="00D31B24"/>
    <w:rsid w:val="00D322B1"/>
    <w:rsid w:val="00D3696A"/>
    <w:rsid w:val="00D46441"/>
    <w:rsid w:val="00D521C9"/>
    <w:rsid w:val="00D57BD7"/>
    <w:rsid w:val="00D646BD"/>
    <w:rsid w:val="00D65ED5"/>
    <w:rsid w:val="00D6682A"/>
    <w:rsid w:val="00D6754D"/>
    <w:rsid w:val="00D73461"/>
    <w:rsid w:val="00D74AC2"/>
    <w:rsid w:val="00DA3B1E"/>
    <w:rsid w:val="00DA5106"/>
    <w:rsid w:val="00DB5681"/>
    <w:rsid w:val="00DC4055"/>
    <w:rsid w:val="00DD4EE9"/>
    <w:rsid w:val="00DE172C"/>
    <w:rsid w:val="00DF2041"/>
    <w:rsid w:val="00DF2CB9"/>
    <w:rsid w:val="00E0105B"/>
    <w:rsid w:val="00E028F0"/>
    <w:rsid w:val="00E0311D"/>
    <w:rsid w:val="00E03181"/>
    <w:rsid w:val="00E0384C"/>
    <w:rsid w:val="00E04538"/>
    <w:rsid w:val="00E07BE0"/>
    <w:rsid w:val="00E13ABA"/>
    <w:rsid w:val="00E17A3F"/>
    <w:rsid w:val="00E23FB2"/>
    <w:rsid w:val="00E32599"/>
    <w:rsid w:val="00E40249"/>
    <w:rsid w:val="00E42F50"/>
    <w:rsid w:val="00E56F30"/>
    <w:rsid w:val="00E5795D"/>
    <w:rsid w:val="00E70349"/>
    <w:rsid w:val="00E72E45"/>
    <w:rsid w:val="00E7634F"/>
    <w:rsid w:val="00E803A6"/>
    <w:rsid w:val="00E838AB"/>
    <w:rsid w:val="00E925AF"/>
    <w:rsid w:val="00E9270D"/>
    <w:rsid w:val="00E94D66"/>
    <w:rsid w:val="00E964B4"/>
    <w:rsid w:val="00E96A79"/>
    <w:rsid w:val="00EA30CE"/>
    <w:rsid w:val="00EB2AF6"/>
    <w:rsid w:val="00EB7915"/>
    <w:rsid w:val="00EC2AC4"/>
    <w:rsid w:val="00EC5311"/>
    <w:rsid w:val="00ED0FC9"/>
    <w:rsid w:val="00ED6271"/>
    <w:rsid w:val="00EE024C"/>
    <w:rsid w:val="00EF084D"/>
    <w:rsid w:val="00EF35BA"/>
    <w:rsid w:val="00F20063"/>
    <w:rsid w:val="00F30210"/>
    <w:rsid w:val="00F30B05"/>
    <w:rsid w:val="00F33591"/>
    <w:rsid w:val="00F372B8"/>
    <w:rsid w:val="00F4176E"/>
    <w:rsid w:val="00F46F47"/>
    <w:rsid w:val="00F56769"/>
    <w:rsid w:val="00F61705"/>
    <w:rsid w:val="00F65B80"/>
    <w:rsid w:val="00F70050"/>
    <w:rsid w:val="00F73ED4"/>
    <w:rsid w:val="00F87B39"/>
    <w:rsid w:val="00F87D2F"/>
    <w:rsid w:val="00FA62C6"/>
    <w:rsid w:val="00FB03CA"/>
    <w:rsid w:val="00FC0047"/>
    <w:rsid w:val="00FC126F"/>
    <w:rsid w:val="00FE0577"/>
    <w:rsid w:val="00FF20F5"/>
    <w:rsid w:val="00FF27CD"/>
    <w:rsid w:val="00FF7B24"/>
    <w:rsid w:val="099807AC"/>
    <w:rsid w:val="14B70257"/>
    <w:rsid w:val="48483D8D"/>
    <w:rsid w:val="573240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15"/>
    <w:unhideWhenUsed/>
    <w:qFormat/>
    <w:uiPriority w:val="9"/>
    <w:pPr>
      <w:keepNext/>
      <w:keepLines/>
      <w:widowControl/>
      <w:spacing w:line="560" w:lineRule="exact"/>
      <w:ind w:firstLine="200" w:firstLineChars="200"/>
      <w:outlineLvl w:val="1"/>
    </w:pPr>
    <w:rPr>
      <w:rFonts w:eastAsia="黑体" w:asciiTheme="majorHAnsi" w:hAnsiTheme="majorHAnsi" w:cstheme="majorBidi"/>
      <w:bCs/>
      <w:sz w:val="32"/>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link w:val="17"/>
    <w:unhideWhenUsed/>
    <w:qFormat/>
    <w:uiPriority w:val="99"/>
    <w:pPr>
      <w:widowControl/>
      <w:spacing w:line="560" w:lineRule="exact"/>
      <w:ind w:firstLine="420" w:firstLineChars="200"/>
    </w:pPr>
    <w:rPr>
      <w:rFonts w:ascii="Times New Roman" w:hAnsi="Times New Roman" w:eastAsia="仿宋_GB2312"/>
      <w:sz w:val="32"/>
    </w:rPr>
  </w:style>
  <w:style w:type="paragraph" w:styleId="5">
    <w:name w:val="Body Text Indent"/>
    <w:basedOn w:val="1"/>
    <w:link w:val="16"/>
    <w:semiHidden/>
    <w:unhideWhenUsed/>
    <w:qFormat/>
    <w:uiPriority w:val="99"/>
    <w:pPr>
      <w:spacing w:after="120"/>
      <w:ind w:left="420" w:leftChars="200"/>
    </w:pPr>
  </w:style>
  <w:style w:type="paragraph" w:styleId="6">
    <w:name w:val="Balloon Text"/>
    <w:basedOn w:val="1"/>
    <w:link w:val="20"/>
    <w:semiHidden/>
    <w:unhideWhenUsed/>
    <w:qFormat/>
    <w:uiPriority w:val="99"/>
    <w:rPr>
      <w:sz w:val="18"/>
      <w:szCs w:val="18"/>
    </w:rPr>
  </w:style>
  <w:style w:type="paragraph" w:styleId="7">
    <w:name w:val="footer"/>
    <w:basedOn w:val="1"/>
    <w:link w:val="13"/>
    <w:unhideWhenUsed/>
    <w:qFormat/>
    <w:uiPriority w:val="99"/>
    <w:pPr>
      <w:tabs>
        <w:tab w:val="center" w:pos="4153"/>
        <w:tab w:val="right" w:pos="8306"/>
      </w:tabs>
      <w:snapToGrid w:val="0"/>
      <w:jc w:val="left"/>
    </w:pPr>
    <w:rPr>
      <w:sz w:val="18"/>
      <w:szCs w:val="18"/>
    </w:rPr>
  </w:style>
  <w:style w:type="paragraph" w:styleId="8">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8"/>
    <w:qFormat/>
    <w:uiPriority w:val="99"/>
    <w:rPr>
      <w:sz w:val="18"/>
      <w:szCs w:val="18"/>
    </w:rPr>
  </w:style>
  <w:style w:type="character" w:customStyle="1" w:styleId="13">
    <w:name w:val="页脚 字符"/>
    <w:basedOn w:val="11"/>
    <w:link w:val="7"/>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标题 2 字符"/>
    <w:basedOn w:val="11"/>
    <w:link w:val="3"/>
    <w:qFormat/>
    <w:uiPriority w:val="9"/>
    <w:rPr>
      <w:rFonts w:eastAsia="黑体" w:asciiTheme="majorHAnsi" w:hAnsiTheme="majorHAnsi" w:cstheme="majorBidi"/>
      <w:bCs/>
      <w:sz w:val="32"/>
      <w:szCs w:val="32"/>
    </w:rPr>
  </w:style>
  <w:style w:type="character" w:customStyle="1" w:styleId="16">
    <w:name w:val="正文文本缩进 字符"/>
    <w:basedOn w:val="11"/>
    <w:link w:val="5"/>
    <w:semiHidden/>
    <w:qFormat/>
    <w:uiPriority w:val="99"/>
  </w:style>
  <w:style w:type="character" w:customStyle="1" w:styleId="17">
    <w:name w:val="正文首行缩进 2 字符"/>
    <w:basedOn w:val="16"/>
    <w:link w:val="2"/>
    <w:uiPriority w:val="99"/>
    <w:rPr>
      <w:rFonts w:ascii="Times New Roman" w:hAnsi="Times New Roman" w:eastAsia="仿宋_GB2312"/>
      <w:sz w:val="32"/>
    </w:rPr>
  </w:style>
  <w:style w:type="table" w:customStyle="1" w:styleId="18">
    <w:name w:val="网格表 1 浅色1"/>
    <w:basedOn w:val="9"/>
    <w:qFormat/>
    <w:uiPriority w:val="46"/>
    <w:rPr>
      <w:rFonts w:ascii="Times New Roman" w:hAnsi="Times New Roman" w:eastAsia="宋体" w:cs="Times New Roman"/>
      <w:kern w:val="0"/>
      <w:sz w:val="20"/>
      <w:szCs w:val="20"/>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character" w:customStyle="1" w:styleId="19">
    <w:name w:val="标题 3 字符"/>
    <w:basedOn w:val="11"/>
    <w:link w:val="4"/>
    <w:qFormat/>
    <w:uiPriority w:val="9"/>
    <w:rPr>
      <w:b/>
      <w:bCs/>
      <w:sz w:val="32"/>
      <w:szCs w:val="32"/>
    </w:rPr>
  </w:style>
  <w:style w:type="character" w:customStyle="1" w:styleId="20">
    <w:name w:val="批注框文本 字符"/>
    <w:basedOn w:val="11"/>
    <w:link w:val="6"/>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031579-B8DE-44EC-8667-59C1A6B9FD4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21</Pages>
  <Words>1717</Words>
  <Characters>9792</Characters>
  <Lines>81</Lines>
  <Paragraphs>22</Paragraphs>
  <TotalTime>0</TotalTime>
  <ScaleCrop>false</ScaleCrop>
  <LinksUpToDate>false</LinksUpToDate>
  <CharactersWithSpaces>11487</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2020-05-02T09:41:00Z</dcterms:created>
  <dc:creator>dell</dc:creator>
  <cp:lastModifiedBy>金柏</cp:lastModifiedBy>
  <cp:lastPrinted>2020-05-06T00:22:00Z</cp:lastPrinted>
  <dcterms:modified xsi:type="dcterms:W3CDTF">2020-05-06T07:39:05Z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