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2"/>
        <w:rPr>
          <w:rFonts w:ascii="方正小标宋简体" w:hAnsi="华文仿宋" w:eastAsia="方正小标宋简体" w:cs="Times New Roman"/>
          <w:bCs/>
          <w:kern w:val="0"/>
          <w:sz w:val="40"/>
          <w:szCs w:val="32"/>
        </w:rPr>
      </w:pPr>
      <w:r>
        <w:rPr>
          <w:rFonts w:hint="eastAsia" w:ascii="方正小标宋简体" w:hAnsi="华文仿宋" w:eastAsia="方正小标宋简体" w:cs="Times New Roman"/>
          <w:bCs/>
          <w:kern w:val="0"/>
          <w:sz w:val="40"/>
          <w:szCs w:val="32"/>
        </w:rPr>
        <w:t>解民生多艰，育天下英才</w:t>
      </w:r>
    </w:p>
    <w:p>
      <w:pPr>
        <w:jc w:val="center"/>
        <w:outlineLvl w:val="2"/>
        <w:rPr>
          <w:rFonts w:ascii="方正小标宋简体" w:hAnsi="华文仿宋" w:eastAsia="方正小标宋简体" w:cs="Times New Roman"/>
          <w:bCs/>
          <w:kern w:val="0"/>
          <w:sz w:val="40"/>
          <w:szCs w:val="32"/>
        </w:rPr>
      </w:pPr>
      <w:r>
        <w:rPr>
          <w:rFonts w:hint="eastAsia" w:ascii="方正小标宋简体" w:hAnsi="华文仿宋" w:eastAsia="方正小标宋简体" w:cs="Times New Roman"/>
          <w:bCs/>
          <w:kern w:val="0"/>
          <w:sz w:val="40"/>
          <w:szCs w:val="32"/>
        </w:rPr>
        <w:t>立足特色学科优势，培养拔尖创新人才</w:t>
      </w:r>
    </w:p>
    <w:p>
      <w:pPr>
        <w:spacing w:line="560" w:lineRule="exact"/>
        <w:jc w:val="center"/>
        <w:rPr>
          <w:rStyle w:val="15"/>
          <w:rFonts w:ascii="仿宋_GB2312" w:hAnsi="楷体" w:eastAsia="仿宋_GB2312" w:cs="楷体"/>
          <w:b/>
          <w:bCs/>
          <w:sz w:val="32"/>
          <w:szCs w:val="32"/>
        </w:rPr>
      </w:pPr>
      <w:r>
        <w:rPr>
          <w:rStyle w:val="15"/>
          <w:rFonts w:hint="eastAsia" w:ascii="仿宋_GB2312" w:hAnsi="楷体" w:eastAsia="仿宋_GB2312" w:cs="楷体"/>
          <w:bCs/>
          <w:sz w:val="32"/>
          <w:szCs w:val="32"/>
        </w:rPr>
        <w:t>中国农业大学</w:t>
      </w:r>
    </w:p>
    <w:p>
      <w:pPr>
        <w:ind w:firstLine="562" w:firstLineChars="200"/>
        <w:rPr>
          <w:rFonts w:ascii="仿宋" w:hAnsi="仿宋" w:eastAsia="仿宋"/>
          <w:b/>
          <w:sz w:val="28"/>
          <w:szCs w:val="28"/>
        </w:rPr>
      </w:pPr>
    </w:p>
    <w:p>
      <w:pPr>
        <w:widowControl/>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中国农业</w:t>
      </w:r>
      <w:r>
        <w:rPr>
          <w:rFonts w:ascii="仿宋_GB2312" w:hAnsi="宋体" w:eastAsia="仿宋_GB2312" w:cs="宋体"/>
          <w:kern w:val="0"/>
          <w:sz w:val="32"/>
          <w:szCs w:val="32"/>
        </w:rPr>
        <w:t>大学是</w:t>
      </w:r>
      <w:r>
        <w:rPr>
          <w:rFonts w:hint="eastAsia" w:ascii="仿宋_GB2312" w:hAnsi="宋体" w:eastAsia="仿宋_GB2312" w:cs="宋体"/>
          <w:kern w:val="0"/>
          <w:sz w:val="32"/>
          <w:szCs w:val="32"/>
        </w:rPr>
        <w:t>我国现代农业高等教育的起源地，是</w:t>
      </w:r>
      <w:r>
        <w:rPr>
          <w:rFonts w:ascii="仿宋_GB2312" w:hAnsi="宋体" w:eastAsia="仿宋_GB2312" w:cs="宋体"/>
          <w:kern w:val="0"/>
          <w:sz w:val="32"/>
          <w:szCs w:val="32"/>
        </w:rPr>
        <w:t>一所以农学、生命科学、农业工程和食品科学为特色和优势的研究型大学</w:t>
      </w:r>
      <w:r>
        <w:rPr>
          <w:rFonts w:hint="eastAsia" w:ascii="仿宋_GB2312" w:hAnsi="宋体" w:eastAsia="仿宋_GB2312" w:cs="宋体"/>
          <w:kern w:val="0"/>
          <w:sz w:val="32"/>
          <w:szCs w:val="32"/>
        </w:rPr>
        <w:t>。根据《教育部关于在部分高校开展基础学科招生改革试点工作的意见》（教学[</w:t>
      </w:r>
      <w:r>
        <w:rPr>
          <w:rFonts w:ascii="仿宋_GB2312" w:hAnsi="宋体" w:eastAsia="仿宋_GB2312" w:cs="宋体"/>
          <w:kern w:val="0"/>
          <w:sz w:val="32"/>
          <w:szCs w:val="32"/>
        </w:rPr>
        <w:t>2020</w:t>
      </w:r>
      <w:r>
        <w:rPr>
          <w:rFonts w:hint="eastAsia" w:ascii="仿宋_GB2312" w:hAnsi="宋体" w:eastAsia="仿宋_GB2312" w:cs="宋体"/>
          <w:kern w:val="0"/>
          <w:sz w:val="32"/>
          <w:szCs w:val="32"/>
        </w:rPr>
        <w:t>]</w:t>
      </w:r>
      <w:r>
        <w:rPr>
          <w:rFonts w:ascii="仿宋_GB2312" w:hAnsi="宋体" w:eastAsia="仿宋_GB2312" w:cs="宋体"/>
          <w:kern w:val="0"/>
          <w:sz w:val="32"/>
          <w:szCs w:val="32"/>
        </w:rPr>
        <w:t>1</w:t>
      </w:r>
      <w:r>
        <w:rPr>
          <w:rFonts w:hint="eastAsia" w:ascii="仿宋_GB2312" w:hAnsi="宋体" w:eastAsia="仿宋_GB2312" w:cs="宋体"/>
          <w:kern w:val="0"/>
          <w:sz w:val="32"/>
          <w:szCs w:val="32"/>
        </w:rPr>
        <w:t>号）等文件，服务国家重大战略需求，加强基础学科拔尖创新人才选拔培养，中国农业大学招收生物</w:t>
      </w:r>
      <w:r>
        <w:rPr>
          <w:rFonts w:ascii="仿宋_GB2312" w:hAnsi="宋体" w:eastAsia="仿宋_GB2312" w:cs="宋体"/>
          <w:kern w:val="0"/>
          <w:sz w:val="32"/>
          <w:szCs w:val="32"/>
        </w:rPr>
        <w:t>科学专业强基</w:t>
      </w:r>
      <w:r>
        <w:rPr>
          <w:rFonts w:hint="eastAsia" w:ascii="仿宋_GB2312" w:hAnsi="宋体" w:eastAsia="仿宋_GB2312" w:cs="宋体"/>
          <w:kern w:val="0"/>
          <w:sz w:val="32"/>
          <w:szCs w:val="32"/>
        </w:rPr>
        <w:t>计划学生，旨在探索多维度考核评价模式，选拔一批有志向、有兴趣、有天赋，有强烈的专业兴趣、科研志向和吃苦耐劳精神的青年学生进行本硕博衔接培养，为国家重大战略领域输送后备人才。</w:t>
      </w:r>
    </w:p>
    <w:p>
      <w:pPr>
        <w:widowControl/>
        <w:rPr>
          <w:rFonts w:ascii="仿宋_GB2312" w:hAnsi="宋体" w:eastAsia="仿宋_GB2312" w:cs="宋体"/>
          <w:kern w:val="0"/>
          <w:sz w:val="32"/>
          <w:szCs w:val="32"/>
        </w:rPr>
      </w:pPr>
      <w:bookmarkStart w:id="0" w:name="_GoBack"/>
      <w:bookmarkEnd w:id="0"/>
    </w:p>
    <w:p>
      <w:pPr>
        <w:widowControl/>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rPr>
        <w:t xml:space="preserve"> “解民生之多艰，育天下之英才”，是中国农业大学百年不变的追求。数代农大人情系乡土，忧患苍生，为实现中国人千百年来的温饱和富庶之梦不遗余力，形成了拥有勤勉持重、爱国忧民的精神传统和严谨求实、厚德博学的办学传统。报考</w:t>
      </w:r>
      <w:r>
        <w:rPr>
          <w:rFonts w:ascii="仿宋_GB2312" w:hAnsi="宋体" w:eastAsia="仿宋_GB2312" w:cs="宋体"/>
          <w:kern w:val="0"/>
          <w:sz w:val="32"/>
          <w:szCs w:val="32"/>
        </w:rPr>
        <w:t>我校强基计划，需</w:t>
      </w:r>
      <w:r>
        <w:rPr>
          <w:rFonts w:hint="eastAsia" w:ascii="仿宋_GB2312" w:hAnsi="宋体" w:eastAsia="仿宋_GB2312" w:cs="宋体"/>
          <w:b/>
          <w:bCs/>
          <w:kern w:val="0"/>
          <w:sz w:val="32"/>
          <w:szCs w:val="32"/>
        </w:rPr>
        <w:t>综合素质优秀或基础学科拔尖，</w:t>
      </w:r>
      <w:r>
        <w:rPr>
          <w:rFonts w:hint="eastAsia" w:ascii="仿宋_GB2312" w:hAnsi="宋体" w:eastAsia="仿宋_GB2312" w:cs="宋体"/>
          <w:b/>
          <w:bCs/>
          <w:kern w:val="0"/>
          <w:sz w:val="32"/>
          <w:szCs w:val="32"/>
          <w:lang w:eastAsia="zh-CN"/>
        </w:rPr>
        <w:t>同时</w:t>
      </w:r>
      <w:r>
        <w:rPr>
          <w:rFonts w:hint="eastAsia" w:ascii="仿宋_GB2312" w:hAnsi="宋体" w:eastAsia="仿宋_GB2312" w:cs="宋体"/>
          <w:b/>
          <w:bCs/>
          <w:kern w:val="0"/>
          <w:sz w:val="32"/>
          <w:szCs w:val="32"/>
        </w:rPr>
        <w:t>要</w:t>
      </w:r>
      <w:r>
        <w:rPr>
          <w:rFonts w:hint="eastAsia" w:ascii="仿宋_GB2312" w:hAnsi="宋体" w:eastAsia="仿宋_GB2312" w:cs="宋体"/>
          <w:b/>
          <w:bCs/>
          <w:kern w:val="0"/>
          <w:sz w:val="32"/>
          <w:szCs w:val="32"/>
          <w:lang w:eastAsia="zh-CN"/>
        </w:rPr>
        <w:t>具</w:t>
      </w:r>
      <w:r>
        <w:rPr>
          <w:rFonts w:hint="eastAsia" w:ascii="仿宋_GB2312" w:hAnsi="宋体" w:eastAsia="仿宋_GB2312" w:cs="宋体"/>
          <w:b/>
          <w:bCs/>
          <w:kern w:val="0"/>
          <w:sz w:val="32"/>
          <w:szCs w:val="32"/>
        </w:rPr>
        <w:t>有强烈的专业兴趣、科研志向，吃苦耐劳的精神，并有志于将来从事相关领域科学技术工作</w:t>
      </w:r>
      <w:r>
        <w:rPr>
          <w:rFonts w:hint="eastAsia" w:ascii="仿宋_GB2312" w:hAnsi="宋体" w:eastAsia="仿宋_GB2312" w:cs="宋体"/>
          <w:b/>
          <w:bCs/>
          <w:kern w:val="0"/>
          <w:sz w:val="32"/>
          <w:szCs w:val="32"/>
          <w:lang w:eastAsia="zh-CN"/>
        </w:rPr>
        <w:t>。</w:t>
      </w:r>
    </w:p>
    <w:p>
      <w:pPr>
        <w:spacing w:line="560" w:lineRule="exact"/>
        <w:ind w:firstLine="643" w:firstLineChars="200"/>
        <w:rPr>
          <w:rFonts w:ascii="仿宋_GB2312" w:hAnsi="宋体" w:eastAsia="仿宋_GB2312" w:cs="宋体"/>
          <w:kern w:val="0"/>
          <w:sz w:val="32"/>
          <w:szCs w:val="32"/>
        </w:rPr>
      </w:pPr>
      <w:r>
        <w:rPr>
          <w:rFonts w:hint="eastAsia" w:ascii="仿宋_GB2312" w:hAnsi="宋体" w:eastAsia="仿宋_GB2312" w:cs="宋体"/>
          <w:b/>
          <w:bCs/>
          <w:kern w:val="0"/>
          <w:sz w:val="32"/>
          <w:szCs w:val="32"/>
        </w:rPr>
        <w:t>中国农业大学强基计划</w:t>
      </w:r>
      <w:r>
        <w:rPr>
          <w:rFonts w:ascii="仿宋_GB2312" w:hAnsi="宋体" w:eastAsia="仿宋_GB2312" w:cs="宋体"/>
          <w:b/>
          <w:bCs/>
          <w:kern w:val="0"/>
          <w:sz w:val="32"/>
          <w:szCs w:val="32"/>
        </w:rPr>
        <w:t>招生专业是生物科学专业，</w:t>
      </w:r>
      <w:r>
        <w:rPr>
          <w:rFonts w:hint="eastAsia" w:ascii="仿宋_GB2312" w:hAnsi="宋体" w:eastAsia="仿宋_GB2312" w:cs="宋体"/>
          <w:b/>
          <w:bCs/>
          <w:kern w:val="0"/>
          <w:sz w:val="32"/>
          <w:szCs w:val="32"/>
        </w:rPr>
        <w:t>招生规模为</w:t>
      </w:r>
      <w:r>
        <w:rPr>
          <w:rFonts w:ascii="仿宋_GB2312" w:hAnsi="宋体" w:eastAsia="仿宋_GB2312" w:cs="宋体"/>
          <w:b/>
          <w:bCs/>
          <w:kern w:val="0"/>
          <w:sz w:val="32"/>
          <w:szCs w:val="32"/>
        </w:rPr>
        <w:t>3</w:t>
      </w:r>
      <w:r>
        <w:rPr>
          <w:rFonts w:hint="eastAsia" w:ascii="仿宋_GB2312" w:hAnsi="宋体" w:eastAsia="仿宋_GB2312" w:cs="宋体"/>
          <w:b/>
          <w:bCs/>
          <w:kern w:val="0"/>
          <w:sz w:val="32"/>
          <w:szCs w:val="32"/>
        </w:rPr>
        <w:t>0人，面向部分省份</w:t>
      </w:r>
      <w:r>
        <w:rPr>
          <w:rFonts w:ascii="仿宋_GB2312" w:hAnsi="宋体" w:eastAsia="仿宋_GB2312" w:cs="宋体"/>
          <w:b/>
          <w:bCs/>
          <w:kern w:val="0"/>
          <w:sz w:val="32"/>
          <w:szCs w:val="32"/>
        </w:rPr>
        <w:t>招生。</w:t>
      </w:r>
      <w:r>
        <w:rPr>
          <w:rFonts w:hint="eastAsia" w:ascii="仿宋_GB2312" w:hAnsi="宋体" w:eastAsia="仿宋_GB2312" w:cs="宋体"/>
          <w:kern w:val="0"/>
          <w:sz w:val="32"/>
          <w:szCs w:val="32"/>
        </w:rPr>
        <w:t>报名条件有两类：第一类是高考成绩优异的</w:t>
      </w:r>
      <w:r>
        <w:rPr>
          <w:rFonts w:ascii="仿宋_GB2312" w:hAnsi="宋体" w:eastAsia="仿宋_GB2312" w:cs="宋体"/>
          <w:kern w:val="0"/>
          <w:sz w:val="32"/>
          <w:szCs w:val="32"/>
        </w:rPr>
        <w:t>考生</w:t>
      </w:r>
      <w:r>
        <w:rPr>
          <w:rFonts w:hint="eastAsia" w:ascii="仿宋_GB2312" w:hAnsi="宋体" w:eastAsia="仿宋_GB2312" w:cs="宋体"/>
          <w:kern w:val="0"/>
          <w:sz w:val="32"/>
          <w:szCs w:val="32"/>
        </w:rPr>
        <w:t>；第二类是相关学科领域具有突出才能和表现的</w:t>
      </w:r>
      <w:r>
        <w:rPr>
          <w:rFonts w:ascii="仿宋_GB2312" w:hAnsi="宋体" w:eastAsia="仿宋_GB2312" w:cs="宋体"/>
          <w:kern w:val="0"/>
          <w:sz w:val="32"/>
          <w:szCs w:val="32"/>
        </w:rPr>
        <w:t>考生</w:t>
      </w:r>
      <w:r>
        <w:rPr>
          <w:rFonts w:hint="eastAsia" w:ascii="仿宋_GB2312" w:hAnsi="宋体" w:eastAsia="仿宋_GB2312" w:cs="宋体"/>
          <w:kern w:val="0"/>
          <w:sz w:val="32"/>
          <w:szCs w:val="32"/>
        </w:rPr>
        <w:t>，结合</w:t>
      </w:r>
      <w:r>
        <w:rPr>
          <w:rFonts w:ascii="仿宋_GB2312" w:hAnsi="宋体" w:eastAsia="仿宋_GB2312" w:cs="宋体"/>
          <w:kern w:val="0"/>
          <w:sz w:val="32"/>
          <w:szCs w:val="32"/>
        </w:rPr>
        <w:t>到</w:t>
      </w:r>
      <w:r>
        <w:rPr>
          <w:rFonts w:hint="eastAsia" w:ascii="仿宋_GB2312" w:hAnsi="宋体" w:eastAsia="仿宋_GB2312" w:cs="宋体"/>
          <w:kern w:val="0"/>
          <w:sz w:val="32"/>
          <w:szCs w:val="32"/>
        </w:rPr>
        <w:t>中国</w:t>
      </w:r>
      <w:r>
        <w:rPr>
          <w:rFonts w:ascii="仿宋_GB2312" w:hAnsi="宋体" w:eastAsia="仿宋_GB2312" w:cs="宋体"/>
          <w:kern w:val="0"/>
          <w:sz w:val="32"/>
          <w:szCs w:val="32"/>
        </w:rPr>
        <w:t>农业大学</w:t>
      </w:r>
      <w:r>
        <w:rPr>
          <w:rFonts w:hint="eastAsia" w:ascii="仿宋_GB2312" w:hAnsi="宋体" w:eastAsia="仿宋_GB2312" w:cs="宋体"/>
          <w:kern w:val="0"/>
          <w:sz w:val="32"/>
          <w:szCs w:val="32"/>
        </w:rPr>
        <w:t>2020年</w:t>
      </w:r>
      <w:r>
        <w:rPr>
          <w:rFonts w:ascii="仿宋_GB2312" w:hAnsi="宋体" w:eastAsia="仿宋_GB2312" w:cs="宋体"/>
          <w:kern w:val="0"/>
          <w:sz w:val="32"/>
          <w:szCs w:val="32"/>
        </w:rPr>
        <w:t>强基计划的专业设置，</w:t>
      </w:r>
      <w:r>
        <w:rPr>
          <w:rFonts w:hint="eastAsia" w:ascii="仿宋_GB2312" w:hAnsi="宋体" w:eastAsia="仿宋_GB2312" w:cs="宋体"/>
          <w:kern w:val="0"/>
          <w:sz w:val="32"/>
          <w:szCs w:val="32"/>
        </w:rPr>
        <w:t>要求高中阶段获得生物学科奥林匹克竞赛全国决赛一、二等奖。对于第一类考生，高考</w:t>
      </w:r>
      <w:r>
        <w:rPr>
          <w:rFonts w:ascii="仿宋_GB2312" w:hAnsi="宋体" w:eastAsia="仿宋_GB2312" w:cs="宋体"/>
          <w:kern w:val="0"/>
          <w:sz w:val="32"/>
          <w:szCs w:val="32"/>
        </w:rPr>
        <w:t>成绩</w:t>
      </w:r>
      <w:r>
        <w:rPr>
          <w:rFonts w:hint="eastAsia" w:ascii="仿宋_GB2312" w:hAnsi="宋体" w:eastAsia="仿宋_GB2312" w:cs="宋体"/>
          <w:kern w:val="0"/>
          <w:sz w:val="32"/>
          <w:szCs w:val="32"/>
        </w:rPr>
        <w:t>须达到第一批本科录取控制分数线（对于合并本科批次的省份，参照该省份确定的特殊类型相应最低录取控制分数线）线上，依据高考成绩从高到低排序，按我校分省招生计划数的</w:t>
      </w:r>
      <w:r>
        <w:rPr>
          <w:rFonts w:ascii="仿宋_GB2312" w:hAnsi="宋体" w:eastAsia="仿宋_GB2312" w:cs="宋体"/>
          <w:kern w:val="0"/>
          <w:sz w:val="32"/>
          <w:szCs w:val="32"/>
        </w:rPr>
        <w:t>4倍确定各省入围高校考核考生名单；对于第二类考生，高考成绩达到第一批本科录取控制分数线</w:t>
      </w:r>
      <w:r>
        <w:rPr>
          <w:rFonts w:hint="eastAsia" w:ascii="仿宋_GB2312" w:hAnsi="宋体" w:eastAsia="仿宋_GB2312" w:cs="宋体"/>
          <w:kern w:val="0"/>
          <w:sz w:val="32"/>
          <w:szCs w:val="32"/>
        </w:rPr>
        <w:t>（对于合并本科批次的省份，参照该省份确定的特殊类型相应最低录取控制分数线）</w:t>
      </w:r>
      <w:r>
        <w:rPr>
          <w:rFonts w:ascii="仿宋_GB2312" w:hAnsi="宋体" w:eastAsia="仿宋_GB2312" w:cs="宋体"/>
          <w:kern w:val="0"/>
          <w:sz w:val="32"/>
          <w:szCs w:val="32"/>
        </w:rPr>
        <w:t>线上即可入围学校考核。</w:t>
      </w:r>
      <w:r>
        <w:rPr>
          <w:rFonts w:hint="eastAsia" w:ascii="仿宋_GB2312" w:hAnsi="宋体" w:eastAsia="仿宋_GB2312" w:cs="宋体"/>
          <w:kern w:val="0"/>
          <w:sz w:val="32"/>
          <w:szCs w:val="32"/>
        </w:rPr>
        <w:t>对于非高考改革省份，仅招收理科学生，对于高考改革省份，选考科目要求为物理或化学或生物。</w:t>
      </w:r>
    </w:p>
    <w:p>
      <w:pPr>
        <w:spacing w:line="560" w:lineRule="exact"/>
        <w:jc w:val="center"/>
        <w:rPr>
          <w:rStyle w:val="15"/>
          <w:rFonts w:ascii="黑体" w:hAnsi="黑体" w:eastAsia="黑体" w:cs="楷体"/>
          <w:bCs/>
          <w:sz w:val="32"/>
          <w:szCs w:val="32"/>
        </w:rPr>
      </w:pPr>
    </w:p>
    <w:p>
      <w:pPr>
        <w:spacing w:line="560" w:lineRule="exact"/>
        <w:jc w:val="center"/>
        <w:rPr>
          <w:rFonts w:ascii="黑体" w:hAnsi="黑体" w:eastAsia="黑体"/>
          <w:sz w:val="32"/>
          <w:szCs w:val="32"/>
        </w:rPr>
      </w:pPr>
      <w:r>
        <w:rPr>
          <w:rStyle w:val="15"/>
          <w:rFonts w:hint="eastAsia" w:ascii="黑体" w:hAnsi="黑体" w:eastAsia="黑体" w:cs="楷体"/>
          <w:bCs/>
          <w:sz w:val="32"/>
          <w:szCs w:val="32"/>
        </w:rPr>
        <w:t>传统优势学科，立足时代发展</w:t>
      </w:r>
    </w:p>
    <w:p>
      <w:pPr>
        <w:spacing w:line="560" w:lineRule="exact"/>
        <w:ind w:firstLine="643" w:firstLineChars="200"/>
        <w:rPr>
          <w:rFonts w:ascii="仿宋_GB2312" w:hAnsi="宋体" w:eastAsia="仿宋_GB2312" w:cs="宋体"/>
          <w:kern w:val="0"/>
          <w:sz w:val="32"/>
          <w:szCs w:val="32"/>
        </w:rPr>
      </w:pPr>
      <w:r>
        <w:rPr>
          <w:rFonts w:hint="eastAsia" w:ascii="仿宋_GB2312" w:hAnsi="宋体" w:eastAsia="仿宋_GB2312" w:cs="宋体"/>
          <w:b/>
          <w:bCs/>
          <w:kern w:val="0"/>
          <w:sz w:val="32"/>
          <w:szCs w:val="32"/>
        </w:rPr>
        <w:t>中国农业大学生物</w:t>
      </w:r>
      <w:r>
        <w:rPr>
          <w:rFonts w:ascii="仿宋_GB2312" w:hAnsi="宋体" w:eastAsia="仿宋_GB2312" w:cs="宋体"/>
          <w:b/>
          <w:bCs/>
          <w:kern w:val="0"/>
          <w:sz w:val="32"/>
          <w:szCs w:val="32"/>
        </w:rPr>
        <w:t>科学专业是</w:t>
      </w:r>
      <w:r>
        <w:rPr>
          <w:rFonts w:hint="eastAsia" w:ascii="仿宋_GB2312" w:hAnsi="宋体" w:eastAsia="仿宋_GB2312" w:cs="宋体"/>
          <w:b/>
          <w:bCs/>
          <w:kern w:val="0"/>
          <w:sz w:val="32"/>
          <w:szCs w:val="32"/>
        </w:rPr>
        <w:t>本</w:t>
      </w:r>
      <w:r>
        <w:rPr>
          <w:rFonts w:ascii="仿宋_GB2312" w:hAnsi="宋体" w:eastAsia="仿宋_GB2312" w:cs="宋体"/>
          <w:b/>
          <w:bCs/>
          <w:kern w:val="0"/>
          <w:sz w:val="32"/>
          <w:szCs w:val="32"/>
        </w:rPr>
        <w:t>校传统优势专业，</w:t>
      </w:r>
      <w:r>
        <w:rPr>
          <w:rFonts w:hint="eastAsia" w:ascii="仿宋_GB2312" w:hAnsi="宋体" w:eastAsia="仿宋_GB2312" w:cs="宋体"/>
          <w:b/>
          <w:bCs/>
          <w:kern w:val="0"/>
          <w:sz w:val="32"/>
          <w:szCs w:val="32"/>
        </w:rPr>
        <w:t>生物学科列入“双一流”大学建设</w:t>
      </w:r>
      <w:r>
        <w:rPr>
          <w:rFonts w:ascii="仿宋_GB2312" w:hAnsi="宋体" w:eastAsia="仿宋_GB2312" w:cs="宋体"/>
          <w:b/>
          <w:bCs/>
          <w:kern w:val="0"/>
          <w:sz w:val="32"/>
          <w:szCs w:val="32"/>
        </w:rPr>
        <w:t>A类高校重点建设学科。</w:t>
      </w:r>
      <w:r>
        <w:rPr>
          <w:rFonts w:ascii="仿宋_GB2312" w:hAnsi="宋体" w:eastAsia="仿宋_GB2312" w:cs="宋体"/>
          <w:kern w:val="0"/>
          <w:sz w:val="32"/>
          <w:szCs w:val="32"/>
        </w:rPr>
        <w:t>在教育部第四轮学科评估中评估结果为A，</w:t>
      </w:r>
      <w:r>
        <w:rPr>
          <w:rFonts w:hint="eastAsia" w:ascii="仿宋_GB2312" w:hAnsi="宋体" w:eastAsia="仿宋_GB2312" w:cs="宋体"/>
          <w:kern w:val="0"/>
          <w:sz w:val="32"/>
          <w:szCs w:val="32"/>
        </w:rPr>
        <w:t>位列</w:t>
      </w:r>
      <w:r>
        <w:rPr>
          <w:rFonts w:ascii="仿宋_GB2312" w:hAnsi="宋体" w:eastAsia="仿宋_GB2312" w:cs="宋体"/>
          <w:kern w:val="0"/>
          <w:sz w:val="32"/>
          <w:szCs w:val="32"/>
        </w:rPr>
        <w:t>参评院校</w:t>
      </w:r>
      <w:r>
        <w:rPr>
          <w:rFonts w:hint="eastAsia" w:ascii="仿宋_GB2312" w:hAnsi="宋体" w:eastAsia="仿宋_GB2312" w:cs="宋体"/>
          <w:kern w:val="0"/>
          <w:sz w:val="32"/>
          <w:szCs w:val="32"/>
        </w:rPr>
        <w:t>第</w:t>
      </w:r>
      <w:r>
        <w:rPr>
          <w:rFonts w:ascii="仿宋_GB2312" w:hAnsi="宋体" w:eastAsia="仿宋_GB2312" w:cs="宋体"/>
          <w:kern w:val="0"/>
          <w:sz w:val="32"/>
          <w:szCs w:val="32"/>
        </w:rPr>
        <w:t>4-8位（前2-5%）。</w:t>
      </w:r>
      <w:r>
        <w:rPr>
          <w:rFonts w:hint="eastAsia" w:ascii="仿宋_GB2312" w:hAnsi="宋体" w:eastAsia="仿宋_GB2312" w:cs="宋体"/>
          <w:kern w:val="0"/>
          <w:sz w:val="32"/>
          <w:szCs w:val="32"/>
        </w:rPr>
        <w:t>学科具有完备的人才培养体系，是生物学一级学科博士学位授权学位点（最早获批单位之一），拥有</w:t>
      </w:r>
      <w:r>
        <w:rPr>
          <w:rFonts w:ascii="仿宋_GB2312" w:hAnsi="宋体" w:eastAsia="仿宋_GB2312" w:cs="宋体"/>
          <w:kern w:val="0"/>
          <w:sz w:val="32"/>
          <w:szCs w:val="32"/>
        </w:rPr>
        <w:t>“国家理科教学与科研人才培养基地”</w:t>
      </w:r>
      <w:r>
        <w:rPr>
          <w:rFonts w:hint="eastAsia" w:ascii="仿宋_GB2312" w:hAnsi="宋体" w:eastAsia="仿宋_GB2312" w:cs="宋体"/>
          <w:kern w:val="0"/>
          <w:sz w:val="32"/>
          <w:szCs w:val="32"/>
        </w:rPr>
        <w:t>、</w:t>
      </w:r>
      <w:r>
        <w:rPr>
          <w:rFonts w:ascii="仿宋_GB2312" w:hAnsi="宋体" w:eastAsia="仿宋_GB2312" w:cs="宋体"/>
          <w:kern w:val="0"/>
          <w:sz w:val="32"/>
          <w:szCs w:val="32"/>
        </w:rPr>
        <w:t>“国家生命科学与技术人才培养基地”</w:t>
      </w:r>
      <w:r>
        <w:rPr>
          <w:rFonts w:hint="eastAsia" w:ascii="仿宋_GB2312" w:hAnsi="宋体" w:eastAsia="仿宋_GB2312" w:cs="宋体"/>
          <w:kern w:val="0"/>
          <w:sz w:val="32"/>
          <w:szCs w:val="32"/>
        </w:rPr>
        <w:t>，承担教育部</w:t>
      </w:r>
      <w:r>
        <w:rPr>
          <w:rFonts w:ascii="仿宋_GB2312" w:hAnsi="宋体" w:eastAsia="仿宋_GB2312" w:cs="宋体"/>
          <w:kern w:val="0"/>
          <w:sz w:val="32"/>
          <w:szCs w:val="32"/>
        </w:rPr>
        <w:t>“农业生命科学人才培养模式创新试验区”和“专业点综合改革试点”项目。</w:t>
      </w:r>
      <w:r>
        <w:rPr>
          <w:rFonts w:hint="eastAsia" w:ascii="仿宋_GB2312" w:hAnsi="宋体" w:eastAsia="仿宋_GB2312" w:cs="宋体"/>
          <w:kern w:val="0"/>
          <w:sz w:val="32"/>
          <w:szCs w:val="32"/>
        </w:rPr>
        <w:t>生物科学专业</w:t>
      </w:r>
      <w:r>
        <w:rPr>
          <w:rFonts w:ascii="仿宋_GB2312" w:hAnsi="宋体" w:eastAsia="仿宋_GB2312" w:cs="宋体"/>
          <w:kern w:val="0"/>
          <w:sz w:val="32"/>
          <w:szCs w:val="32"/>
        </w:rPr>
        <w:t>2019年入选教育部“双万计划”一流本科专业建设名录。</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中国农业大学围绕生命科学广泛开展国际交流与合作，通过共建伙伴（联合）实验室、本硕博不同阶段联合培养、短期访学、召开与支持学生参与国际会议等模式与康奈尔大学等</w:t>
      </w:r>
      <w:r>
        <w:rPr>
          <w:rFonts w:ascii="仿宋_GB2312" w:hAnsi="宋体" w:eastAsia="仿宋_GB2312" w:cs="宋体"/>
          <w:kern w:val="0"/>
          <w:sz w:val="32"/>
          <w:szCs w:val="32"/>
        </w:rPr>
        <w:t>30所国际知名大学建立合作，搭建</w:t>
      </w:r>
      <w:r>
        <w:rPr>
          <w:rFonts w:hint="eastAsia" w:ascii="仿宋_GB2312" w:hAnsi="宋体" w:eastAsia="仿宋_GB2312" w:cs="宋体"/>
          <w:kern w:val="0"/>
          <w:sz w:val="32"/>
          <w:szCs w:val="32"/>
        </w:rPr>
        <w:t>广泛</w:t>
      </w:r>
      <w:r>
        <w:rPr>
          <w:rFonts w:ascii="仿宋_GB2312" w:hAnsi="宋体" w:eastAsia="仿宋_GB2312" w:cs="宋体"/>
          <w:kern w:val="0"/>
          <w:sz w:val="32"/>
          <w:szCs w:val="32"/>
        </w:rPr>
        <w:t>人才培养国际交流平台。</w:t>
      </w:r>
    </w:p>
    <w:p>
      <w:pPr>
        <w:spacing w:line="560" w:lineRule="exact"/>
        <w:ind w:firstLine="640" w:firstLineChars="200"/>
        <w:rPr>
          <w:rFonts w:ascii="仿宋_GB2312" w:hAnsi="宋体" w:eastAsia="仿宋_GB2312" w:cs="宋体"/>
          <w:kern w:val="0"/>
          <w:sz w:val="32"/>
          <w:szCs w:val="32"/>
        </w:rPr>
      </w:pPr>
    </w:p>
    <w:p>
      <w:pPr>
        <w:spacing w:line="560" w:lineRule="exact"/>
        <w:jc w:val="center"/>
        <w:rPr>
          <w:rFonts w:ascii="黑体" w:hAnsi="黑体" w:eastAsia="黑体"/>
          <w:sz w:val="32"/>
          <w:szCs w:val="32"/>
        </w:rPr>
      </w:pPr>
      <w:r>
        <w:rPr>
          <w:rStyle w:val="15"/>
          <w:rFonts w:hint="eastAsia" w:ascii="黑体" w:hAnsi="黑体" w:eastAsia="黑体" w:cs="楷体"/>
          <w:bCs/>
          <w:sz w:val="32"/>
          <w:szCs w:val="32"/>
        </w:rPr>
        <w:t>先进培养理念，科学培育人才</w:t>
      </w:r>
    </w:p>
    <w:p>
      <w:pPr>
        <w:widowControl/>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中国农业大学坚持“德才兼备、全面发展、通专平衡、追求卓越”的人才培养理念。针对强基计划学生，将</w:t>
      </w:r>
      <w:r>
        <w:rPr>
          <w:rFonts w:ascii="仿宋_GB2312" w:hAnsi="宋体" w:eastAsia="仿宋_GB2312" w:cs="宋体"/>
          <w:kern w:val="0"/>
          <w:sz w:val="32"/>
          <w:szCs w:val="32"/>
        </w:rPr>
        <w:t>以立德树人为根本</w:t>
      </w:r>
      <w:r>
        <w:rPr>
          <w:rFonts w:hint="eastAsia" w:ascii="仿宋_GB2312" w:hAnsi="宋体" w:eastAsia="仿宋_GB2312" w:cs="宋体"/>
          <w:kern w:val="0"/>
          <w:sz w:val="32"/>
          <w:szCs w:val="32"/>
        </w:rPr>
        <w:t>，着力培养具有爱国情怀和社会责任感、综合素质高、基础知识宽、科研创新能力强、知农</w:t>
      </w:r>
      <w:r>
        <w:rPr>
          <w:rFonts w:ascii="仿宋_GB2312" w:hAnsi="宋体" w:eastAsia="仿宋_GB2312" w:cs="宋体"/>
          <w:kern w:val="0"/>
          <w:sz w:val="32"/>
          <w:szCs w:val="32"/>
        </w:rPr>
        <w:t>爱农</w:t>
      </w:r>
      <w:r>
        <w:rPr>
          <w:rFonts w:hint="eastAsia" w:ascii="仿宋_GB2312" w:hAnsi="宋体" w:eastAsia="仿宋_GB2312" w:cs="宋体"/>
          <w:kern w:val="0"/>
          <w:sz w:val="32"/>
          <w:szCs w:val="32"/>
        </w:rPr>
        <w:t>的生命科学高素质拔尖创新人才，满足生命科学领域和国家农业发展对生命科学领军人才的需求。</w:t>
      </w:r>
    </w:p>
    <w:p>
      <w:pPr>
        <w:widowControl/>
        <w:ind w:firstLine="643" w:firstLineChars="200"/>
        <w:rPr>
          <w:rFonts w:ascii="仿宋_GB2312" w:hAnsi="宋体" w:eastAsia="仿宋_GB2312" w:cs="宋体"/>
          <w:kern w:val="0"/>
          <w:sz w:val="32"/>
          <w:szCs w:val="32"/>
        </w:rPr>
      </w:pPr>
      <w:r>
        <w:rPr>
          <w:rFonts w:hint="eastAsia" w:ascii="仿宋_GB2312" w:hAnsi="宋体" w:eastAsia="仿宋_GB2312" w:cs="宋体"/>
          <w:b/>
          <w:bCs/>
          <w:kern w:val="0"/>
          <w:sz w:val="32"/>
          <w:szCs w:val="32"/>
        </w:rPr>
        <w:t>中国农业大学强基计划实行本硕博衔接</w:t>
      </w:r>
      <w:r>
        <w:rPr>
          <w:rFonts w:ascii="仿宋_GB2312" w:hAnsi="宋体" w:eastAsia="仿宋_GB2312" w:cs="宋体"/>
          <w:b/>
          <w:bCs/>
          <w:kern w:val="0"/>
          <w:sz w:val="32"/>
          <w:szCs w:val="32"/>
        </w:rPr>
        <w:t>培养</w:t>
      </w:r>
      <w:r>
        <w:rPr>
          <w:rFonts w:hint="eastAsia" w:ascii="仿宋_GB2312" w:hAnsi="宋体" w:eastAsia="仿宋_GB2312" w:cs="宋体"/>
          <w:kern w:val="0"/>
          <w:sz w:val="32"/>
          <w:szCs w:val="32"/>
        </w:rPr>
        <w:t>，采用“3+</w:t>
      </w:r>
      <w:r>
        <w:rPr>
          <w:rFonts w:ascii="仿宋_GB2312" w:hAnsi="宋体" w:eastAsia="仿宋_GB2312" w:cs="宋体"/>
          <w:kern w:val="0"/>
          <w:sz w:val="32"/>
          <w:szCs w:val="32"/>
        </w:rPr>
        <w:t>5</w:t>
      </w:r>
      <w:r>
        <w:rPr>
          <w:rFonts w:hint="eastAsia" w:ascii="仿宋_GB2312" w:hAnsi="宋体" w:eastAsia="仿宋_GB2312" w:cs="宋体"/>
          <w:kern w:val="0"/>
          <w:sz w:val="32"/>
          <w:szCs w:val="32"/>
        </w:rPr>
        <w:t>”培养模式，</w:t>
      </w:r>
      <w:r>
        <w:rPr>
          <w:rFonts w:ascii="仿宋_GB2312" w:hAnsi="宋体" w:eastAsia="仿宋_GB2312" w:cs="宋体"/>
          <w:kern w:val="0"/>
          <w:sz w:val="32"/>
          <w:szCs w:val="32"/>
        </w:rPr>
        <w:t>学习时间不少于8年</w:t>
      </w:r>
      <w:r>
        <w:rPr>
          <w:rFonts w:hint="eastAsia" w:ascii="仿宋_GB2312" w:hAnsi="宋体" w:eastAsia="仿宋_GB2312" w:cs="宋体"/>
          <w:kern w:val="0"/>
          <w:sz w:val="32"/>
          <w:szCs w:val="32"/>
        </w:rPr>
        <w:t>；</w:t>
      </w:r>
      <w:r>
        <w:rPr>
          <w:rFonts w:hint="eastAsia" w:ascii="仿宋_GB2312" w:hAnsi="宋体" w:eastAsia="仿宋_GB2312" w:cs="宋体"/>
          <w:b/>
          <w:bCs/>
          <w:kern w:val="0"/>
          <w:sz w:val="32"/>
          <w:szCs w:val="32"/>
        </w:rPr>
        <w:t>实施“一体两制三化”协同育人</w:t>
      </w:r>
      <w:r>
        <w:rPr>
          <w:rFonts w:hint="eastAsia" w:ascii="仿宋_GB2312" w:hAnsi="宋体" w:eastAsia="仿宋_GB2312" w:cs="宋体"/>
          <w:kern w:val="0"/>
          <w:sz w:val="32"/>
          <w:szCs w:val="32"/>
        </w:rPr>
        <w:t>，即以“强基计划”为载体，实施学分制、导师制，探索小班化、混合化、国际化育人机制，对学生开设特色课程，实行独立班级小班教学，实施个性化的科研训练与科研创新计划，专业课中</w:t>
      </w:r>
      <w:r>
        <w:rPr>
          <w:rFonts w:ascii="仿宋_GB2312" w:hAnsi="宋体" w:eastAsia="仿宋_GB2312" w:cs="宋体"/>
          <w:kern w:val="0"/>
          <w:sz w:val="32"/>
          <w:szCs w:val="32"/>
        </w:rPr>
        <w:t>推进本</w:t>
      </w:r>
      <w:r>
        <w:rPr>
          <w:rFonts w:hint="eastAsia" w:ascii="仿宋_GB2312" w:hAnsi="宋体" w:eastAsia="仿宋_GB2312" w:cs="宋体"/>
          <w:kern w:val="0"/>
          <w:sz w:val="32"/>
          <w:szCs w:val="32"/>
        </w:rPr>
        <w:t>硕博授课混合化教学，优先选送进入项目的学生参加国外一流大学的学习、实践和交流活动；</w:t>
      </w:r>
      <w:r>
        <w:rPr>
          <w:rFonts w:ascii="仿宋_GB2312" w:hAnsi="宋体" w:eastAsia="仿宋_GB2312" w:cs="宋体"/>
          <w:b/>
          <w:bCs/>
          <w:kern w:val="0"/>
          <w:sz w:val="32"/>
          <w:szCs w:val="32"/>
        </w:rPr>
        <w:t>实行动态</w:t>
      </w:r>
      <w:r>
        <w:rPr>
          <w:rFonts w:hint="eastAsia" w:ascii="仿宋_GB2312" w:hAnsi="宋体" w:eastAsia="仿宋_GB2312" w:cs="宋体"/>
          <w:b/>
          <w:bCs/>
          <w:kern w:val="0"/>
          <w:sz w:val="32"/>
          <w:szCs w:val="32"/>
        </w:rPr>
        <w:t>进出机制，</w:t>
      </w:r>
      <w:r>
        <w:rPr>
          <w:rFonts w:hint="eastAsia" w:ascii="仿宋_GB2312" w:hAnsi="宋体" w:eastAsia="仿宋_GB2312" w:cs="宋体"/>
          <w:kern w:val="0"/>
          <w:sz w:val="32"/>
          <w:szCs w:val="32"/>
        </w:rPr>
        <w:t>淘汰的学生将转入本专业普通班学习，在校</w:t>
      </w:r>
      <w:r>
        <w:rPr>
          <w:rFonts w:ascii="仿宋_GB2312" w:hAnsi="宋体" w:eastAsia="仿宋_GB2312" w:cs="宋体"/>
          <w:kern w:val="0"/>
          <w:sz w:val="32"/>
          <w:szCs w:val="32"/>
        </w:rPr>
        <w:t>优秀学生可以通过选拔进入强基计划班级</w:t>
      </w:r>
      <w:r>
        <w:rPr>
          <w:rFonts w:hint="eastAsia" w:ascii="仿宋_GB2312" w:hAnsi="宋体" w:eastAsia="仿宋_GB2312" w:cs="宋体"/>
          <w:kern w:val="0"/>
          <w:sz w:val="32"/>
          <w:szCs w:val="32"/>
        </w:rPr>
        <w:t>。</w:t>
      </w:r>
    </w:p>
    <w:p>
      <w:pPr>
        <w:widowControl/>
        <w:ind w:firstLine="640" w:firstLineChars="200"/>
        <w:rPr>
          <w:rFonts w:ascii="仿宋_GB2312" w:hAnsi="宋体" w:eastAsia="仿宋_GB2312" w:cs="宋体"/>
          <w:kern w:val="0"/>
          <w:sz w:val="32"/>
          <w:szCs w:val="32"/>
        </w:rPr>
      </w:pPr>
    </w:p>
    <w:p>
      <w:pPr>
        <w:spacing w:line="560" w:lineRule="exact"/>
        <w:jc w:val="center"/>
        <w:rPr>
          <w:rFonts w:ascii="黑体" w:hAnsi="黑体" w:eastAsia="黑体"/>
          <w:sz w:val="32"/>
          <w:szCs w:val="32"/>
        </w:rPr>
      </w:pPr>
      <w:r>
        <w:rPr>
          <w:rStyle w:val="15"/>
          <w:rFonts w:hint="eastAsia" w:ascii="黑体" w:hAnsi="黑体" w:eastAsia="黑体" w:cs="楷体"/>
          <w:bCs/>
          <w:sz w:val="32"/>
          <w:szCs w:val="32"/>
        </w:rPr>
        <w:t>雄厚师资力量，宽广科研平台</w:t>
      </w:r>
    </w:p>
    <w:p>
      <w:pPr>
        <w:widowControl/>
        <w:ind w:firstLine="643" w:firstLineChars="200"/>
        <w:rPr>
          <w:rFonts w:ascii="仿宋_GB2312" w:hAnsi="宋体" w:eastAsia="仿宋_GB2312" w:cs="宋体"/>
          <w:kern w:val="0"/>
          <w:sz w:val="32"/>
          <w:szCs w:val="32"/>
        </w:rPr>
      </w:pPr>
      <w:r>
        <w:rPr>
          <w:rFonts w:hint="eastAsia" w:ascii="仿宋_GB2312" w:hAnsi="宋体" w:eastAsia="仿宋_GB2312" w:cs="宋体"/>
          <w:b/>
          <w:bCs/>
          <w:kern w:val="0"/>
          <w:sz w:val="32"/>
          <w:szCs w:val="32"/>
        </w:rPr>
        <w:t>中国</w:t>
      </w:r>
      <w:r>
        <w:rPr>
          <w:rFonts w:ascii="仿宋_GB2312" w:hAnsi="宋体" w:eastAsia="仿宋_GB2312" w:cs="宋体"/>
          <w:b/>
          <w:bCs/>
          <w:kern w:val="0"/>
          <w:sz w:val="32"/>
          <w:szCs w:val="32"/>
        </w:rPr>
        <w:t>农业大学</w:t>
      </w:r>
      <w:r>
        <w:rPr>
          <w:rFonts w:hint="eastAsia" w:ascii="仿宋_GB2312" w:hAnsi="宋体" w:eastAsia="仿宋_GB2312" w:cs="宋体"/>
          <w:b/>
          <w:bCs/>
          <w:kern w:val="0"/>
          <w:sz w:val="32"/>
          <w:szCs w:val="32"/>
        </w:rPr>
        <w:t>生物</w:t>
      </w:r>
      <w:r>
        <w:rPr>
          <w:rFonts w:ascii="仿宋_GB2312" w:hAnsi="宋体" w:eastAsia="仿宋_GB2312" w:cs="宋体"/>
          <w:b/>
          <w:bCs/>
          <w:kern w:val="0"/>
          <w:sz w:val="32"/>
          <w:szCs w:val="32"/>
        </w:rPr>
        <w:t>科学（</w:t>
      </w:r>
      <w:r>
        <w:rPr>
          <w:rFonts w:hint="eastAsia" w:ascii="仿宋_GB2312" w:hAnsi="宋体" w:eastAsia="仿宋_GB2312" w:cs="宋体"/>
          <w:b/>
          <w:bCs/>
          <w:kern w:val="0"/>
          <w:sz w:val="32"/>
          <w:szCs w:val="32"/>
        </w:rPr>
        <w:t>强基</w:t>
      </w:r>
      <w:r>
        <w:rPr>
          <w:rFonts w:ascii="仿宋_GB2312" w:hAnsi="宋体" w:eastAsia="仿宋_GB2312" w:cs="宋体"/>
          <w:b/>
          <w:bCs/>
          <w:kern w:val="0"/>
          <w:sz w:val="32"/>
          <w:szCs w:val="32"/>
        </w:rPr>
        <w:t>计划）</w:t>
      </w:r>
      <w:r>
        <w:rPr>
          <w:rFonts w:hint="eastAsia" w:ascii="仿宋_GB2312" w:hAnsi="宋体" w:eastAsia="仿宋_GB2312" w:cs="宋体"/>
          <w:b/>
          <w:bCs/>
          <w:kern w:val="0"/>
          <w:sz w:val="32"/>
          <w:szCs w:val="32"/>
        </w:rPr>
        <w:t>专业师资队伍雄厚。</w:t>
      </w:r>
      <w:r>
        <w:rPr>
          <w:rFonts w:ascii="仿宋_GB2312" w:hAnsi="宋体" w:eastAsia="仿宋_GB2312" w:cs="宋体"/>
          <w:kern w:val="0"/>
          <w:sz w:val="32"/>
          <w:szCs w:val="32"/>
        </w:rPr>
        <w:t>拥有院士3人，“973”项目首席科学家6人，长江学者特聘教授8人、讲座教授5人，国家杰出青年基金获得者13人，</w:t>
      </w:r>
      <w:r>
        <w:rPr>
          <w:rFonts w:hint="eastAsia" w:ascii="仿宋_GB2312" w:hAnsi="宋体" w:eastAsia="仿宋_GB2312" w:cs="宋体"/>
          <w:kern w:val="0"/>
          <w:sz w:val="32"/>
          <w:szCs w:val="32"/>
        </w:rPr>
        <w:t>国家“万人计划”科技创新领军人才3人，</w:t>
      </w:r>
      <w:r>
        <w:rPr>
          <w:rFonts w:ascii="仿宋_GB2312" w:hAnsi="宋体" w:eastAsia="仿宋_GB2312" w:cs="宋体"/>
          <w:kern w:val="0"/>
          <w:sz w:val="32"/>
          <w:szCs w:val="32"/>
        </w:rPr>
        <w:t>北京市教学名师3人</w:t>
      </w:r>
      <w:r>
        <w:rPr>
          <w:rFonts w:hint="eastAsia" w:ascii="仿宋_GB2312" w:hAnsi="宋体" w:eastAsia="仿宋_GB2312" w:cs="宋体"/>
          <w:kern w:val="0"/>
          <w:sz w:val="32"/>
          <w:szCs w:val="32"/>
        </w:rPr>
        <w:t>，青年长江学者</w:t>
      </w:r>
      <w:r>
        <w:rPr>
          <w:rFonts w:ascii="仿宋_GB2312" w:hAnsi="宋体" w:eastAsia="仿宋_GB2312" w:cs="宋体"/>
          <w:kern w:val="0"/>
          <w:sz w:val="32"/>
          <w:szCs w:val="32"/>
        </w:rPr>
        <w:t>2人、青年千人6人、优秀青年科学基金8人、教育部“新世纪人才”18人</w:t>
      </w:r>
      <w:r>
        <w:rPr>
          <w:rFonts w:hint="eastAsia" w:ascii="仿宋_GB2312" w:hAnsi="宋体" w:eastAsia="仿宋_GB2312" w:cs="宋体"/>
          <w:kern w:val="0"/>
          <w:sz w:val="32"/>
          <w:szCs w:val="32"/>
        </w:rPr>
        <w:t>，是一支能够承担国家重大研究任务、具有国际视野和较高学术造诣的师资队伍。</w:t>
      </w:r>
    </w:p>
    <w:p>
      <w:pPr>
        <w:widowControl/>
        <w:ind w:firstLine="643" w:firstLineChars="200"/>
        <w:rPr>
          <w:rFonts w:ascii="仿宋_GB2312" w:hAnsi="宋体" w:eastAsia="仿宋_GB2312" w:cs="宋体"/>
          <w:kern w:val="0"/>
          <w:sz w:val="32"/>
          <w:szCs w:val="32"/>
        </w:rPr>
      </w:pPr>
      <w:r>
        <w:rPr>
          <w:rFonts w:hint="eastAsia" w:ascii="仿宋_GB2312" w:hAnsi="宋体" w:eastAsia="仿宋_GB2312" w:cs="宋体"/>
          <w:b/>
          <w:bCs/>
          <w:kern w:val="0"/>
          <w:sz w:val="32"/>
          <w:szCs w:val="32"/>
        </w:rPr>
        <w:t>同时，学</w:t>
      </w:r>
      <w:r>
        <w:rPr>
          <w:rFonts w:hint="eastAsia" w:ascii="仿宋_GB2312" w:hAnsi="宋体" w:eastAsia="仿宋_GB2312" w:cs="宋体"/>
          <w:b/>
          <w:bCs/>
          <w:kern w:val="0"/>
          <w:sz w:val="32"/>
          <w:szCs w:val="32"/>
          <w:lang w:eastAsia="zh-CN"/>
        </w:rPr>
        <w:t>校</w:t>
      </w:r>
      <w:r>
        <w:rPr>
          <w:rFonts w:hint="eastAsia" w:ascii="仿宋_GB2312" w:hAnsi="宋体" w:eastAsia="仿宋_GB2312" w:cs="宋体"/>
          <w:b/>
          <w:bCs/>
          <w:kern w:val="0"/>
          <w:sz w:val="32"/>
          <w:szCs w:val="32"/>
        </w:rPr>
        <w:t>拥有一流的国家级教学科研平台条件。</w:t>
      </w:r>
      <w:r>
        <w:rPr>
          <w:rFonts w:hint="eastAsia" w:ascii="仿宋_GB2312" w:hAnsi="宋体" w:eastAsia="仿宋_GB2312" w:cs="宋体"/>
          <w:kern w:val="0"/>
          <w:sz w:val="32"/>
          <w:szCs w:val="32"/>
        </w:rPr>
        <w:t>现有农业生物技术、植物生理学与生物化学两个国家重点实验室和农业农村部土壤微生物重点实验室，国家生命科学理科基础研究和人才培养基地、国家生命科学与技术人才培养基地。生命科学实验教学中心是国家级生命科学实验教学示范中心。“模式动物表型与遗传研究国家重大科技基础设施”平台已经启动建设</w:t>
      </w:r>
      <w:r>
        <w:rPr>
          <w:rFonts w:ascii="仿宋_GB2312" w:hAnsi="宋体" w:eastAsia="仿宋_GB2312" w:cs="宋体"/>
          <w:kern w:val="0"/>
          <w:sz w:val="32"/>
          <w:szCs w:val="32"/>
        </w:rPr>
        <w:t>。国际一流的科研条件、开放的教学和科研平台，为高素质人才培养提供了优质的教学、科研支撑和坚实</w:t>
      </w:r>
      <w:r>
        <w:rPr>
          <w:rFonts w:hint="eastAsia" w:ascii="仿宋_GB2312" w:hAnsi="宋体" w:eastAsia="仿宋_GB2312" w:cs="宋体"/>
          <w:kern w:val="0"/>
          <w:sz w:val="32"/>
          <w:szCs w:val="32"/>
        </w:rPr>
        <w:t>保障。</w:t>
      </w:r>
    </w:p>
    <w:p>
      <w:pPr>
        <w:widowControl/>
        <w:ind w:firstLine="640" w:firstLineChars="200"/>
        <w:rPr>
          <w:rFonts w:ascii="仿宋_GB2312" w:hAnsi="宋体" w:eastAsia="仿宋_GB2312" w:cs="宋体"/>
          <w:kern w:val="0"/>
          <w:sz w:val="32"/>
          <w:szCs w:val="32"/>
        </w:rPr>
      </w:pPr>
    </w:p>
    <w:p>
      <w:pPr>
        <w:spacing w:line="560" w:lineRule="exact"/>
        <w:jc w:val="center"/>
        <w:rPr>
          <w:rFonts w:ascii="黑体" w:hAnsi="黑体" w:eastAsia="黑体"/>
          <w:sz w:val="32"/>
          <w:szCs w:val="32"/>
        </w:rPr>
      </w:pPr>
      <w:r>
        <w:rPr>
          <w:rStyle w:val="15"/>
          <w:rFonts w:hint="eastAsia" w:ascii="黑体" w:hAnsi="黑体" w:eastAsia="黑体" w:cs="楷体"/>
          <w:bCs/>
          <w:sz w:val="32"/>
          <w:szCs w:val="32"/>
        </w:rPr>
        <w:t>统筹学校资源，畅通绿色通道</w:t>
      </w:r>
    </w:p>
    <w:p>
      <w:pPr>
        <w:widowControl/>
        <w:ind w:firstLine="643" w:firstLineChars="200"/>
        <w:rPr>
          <w:rFonts w:ascii="仿宋_GB2312" w:hAnsi="宋体" w:eastAsia="仿宋_GB2312" w:cs="宋体"/>
          <w:b/>
          <w:bCs/>
          <w:kern w:val="0"/>
          <w:sz w:val="32"/>
          <w:szCs w:val="32"/>
        </w:rPr>
      </w:pPr>
      <w:r>
        <w:rPr>
          <w:rFonts w:hint="eastAsia" w:ascii="仿宋_GB2312" w:hAnsi="宋体" w:eastAsia="仿宋_GB2312" w:cs="宋体"/>
          <w:b/>
          <w:bCs/>
          <w:kern w:val="0"/>
          <w:sz w:val="32"/>
          <w:szCs w:val="32"/>
        </w:rPr>
        <w:t>中国农业大学强基计划将设立专项资金，用于支持强基计划各项工作的开展。</w:t>
      </w:r>
      <w:r>
        <w:rPr>
          <w:rFonts w:hint="eastAsia" w:ascii="仿宋_GB2312" w:hAnsi="宋体" w:eastAsia="仿宋_GB2312" w:cs="宋体"/>
          <w:kern w:val="0"/>
          <w:sz w:val="32"/>
          <w:szCs w:val="32"/>
        </w:rPr>
        <w:t>设立专项基金，用于支持强基计划学生在读阶段开展自主科研创新项目、学科竞赛及社会实践等活动。设立专项奖学金，奖励优秀学生。入选强基计划学生，研究生</w:t>
      </w:r>
      <w:r>
        <w:rPr>
          <w:rFonts w:ascii="仿宋_GB2312" w:hAnsi="宋体" w:eastAsia="仿宋_GB2312" w:cs="宋体"/>
          <w:kern w:val="0"/>
          <w:sz w:val="32"/>
          <w:szCs w:val="32"/>
        </w:rPr>
        <w:t>阶段</w:t>
      </w:r>
      <w:r>
        <w:rPr>
          <w:rFonts w:hint="eastAsia" w:ascii="仿宋_GB2312" w:hAnsi="宋体" w:eastAsia="仿宋_GB2312" w:cs="宋体"/>
          <w:kern w:val="0"/>
          <w:sz w:val="32"/>
          <w:szCs w:val="32"/>
        </w:rPr>
        <w:t>优先推荐参与国家留学</w:t>
      </w:r>
      <w:r>
        <w:rPr>
          <w:rFonts w:ascii="仿宋_GB2312" w:hAnsi="宋体" w:eastAsia="仿宋_GB2312" w:cs="宋体"/>
          <w:kern w:val="0"/>
          <w:sz w:val="32"/>
          <w:szCs w:val="32"/>
        </w:rPr>
        <w:t>基金委</w:t>
      </w:r>
      <w:r>
        <w:rPr>
          <w:rFonts w:hint="eastAsia" w:ascii="仿宋_GB2312" w:hAnsi="宋体" w:eastAsia="仿宋_GB2312" w:cs="宋体"/>
          <w:kern w:val="0"/>
          <w:sz w:val="32"/>
          <w:szCs w:val="32"/>
        </w:rPr>
        <w:t>博士生联合培养计划</w:t>
      </w:r>
      <w:r>
        <w:rPr>
          <w:rFonts w:ascii="仿宋_GB2312" w:hAnsi="宋体" w:eastAsia="仿宋_GB2312" w:cs="宋体"/>
          <w:kern w:val="0"/>
          <w:sz w:val="32"/>
          <w:szCs w:val="32"/>
        </w:rPr>
        <w:t>。</w:t>
      </w:r>
    </w:p>
    <w:p>
      <w:pPr>
        <w:widowControl/>
        <w:ind w:firstLine="643" w:firstLineChars="200"/>
        <w:rPr>
          <w:rFonts w:ascii="仿宋_GB2312" w:hAnsi="宋体" w:eastAsia="仿宋_GB2312" w:cs="宋体"/>
          <w:kern w:val="0"/>
          <w:sz w:val="32"/>
          <w:szCs w:val="32"/>
        </w:rPr>
      </w:pPr>
      <w:r>
        <w:rPr>
          <w:rFonts w:hint="eastAsia" w:ascii="仿宋_GB2312" w:hAnsi="宋体" w:eastAsia="仿宋_GB2312" w:cs="宋体"/>
          <w:b/>
          <w:bCs/>
          <w:kern w:val="0"/>
          <w:sz w:val="32"/>
          <w:szCs w:val="32"/>
        </w:rPr>
        <w:t>聘请国内外杰出学者作为强基</w:t>
      </w:r>
      <w:r>
        <w:rPr>
          <w:rFonts w:ascii="仿宋_GB2312" w:hAnsi="宋体" w:eastAsia="仿宋_GB2312" w:cs="宋体"/>
          <w:b/>
          <w:bCs/>
          <w:kern w:val="0"/>
          <w:sz w:val="32"/>
          <w:szCs w:val="32"/>
        </w:rPr>
        <w:t xml:space="preserve">计划 </w:t>
      </w:r>
      <w:r>
        <w:rPr>
          <w:rFonts w:hint="eastAsia" w:ascii="仿宋_GB2312" w:hAnsi="宋体" w:eastAsia="仿宋_GB2312" w:cs="宋体"/>
          <w:b/>
          <w:bCs/>
          <w:kern w:val="0"/>
          <w:sz w:val="32"/>
          <w:szCs w:val="32"/>
        </w:rPr>
        <w:t>“导师制”基础，</w:t>
      </w:r>
      <w:r>
        <w:rPr>
          <w:rFonts w:hint="eastAsia" w:ascii="仿宋_GB2312" w:hAnsi="宋体" w:eastAsia="仿宋_GB2312" w:cs="宋体"/>
          <w:kern w:val="0"/>
          <w:sz w:val="32"/>
          <w:szCs w:val="32"/>
        </w:rPr>
        <w:t>专业课程由长江学者特聘</w:t>
      </w:r>
      <w:r>
        <w:rPr>
          <w:rFonts w:ascii="仿宋_GB2312" w:hAnsi="宋体" w:eastAsia="仿宋_GB2312" w:cs="宋体"/>
          <w:kern w:val="0"/>
          <w:sz w:val="32"/>
          <w:szCs w:val="32"/>
        </w:rPr>
        <w:t>教授</w:t>
      </w:r>
      <w:r>
        <w:rPr>
          <w:rFonts w:hint="eastAsia" w:ascii="仿宋_GB2312" w:hAnsi="宋体" w:eastAsia="仿宋_GB2312" w:cs="宋体"/>
          <w:kern w:val="0"/>
          <w:sz w:val="32"/>
          <w:szCs w:val="32"/>
        </w:rPr>
        <w:t>、</w:t>
      </w:r>
      <w:r>
        <w:rPr>
          <w:rFonts w:ascii="仿宋_GB2312" w:hAnsi="宋体" w:eastAsia="仿宋_GB2312" w:cs="宋体"/>
          <w:kern w:val="0"/>
          <w:sz w:val="32"/>
          <w:szCs w:val="32"/>
        </w:rPr>
        <w:t>国家杰出青年基金获得者</w:t>
      </w:r>
      <w:r>
        <w:rPr>
          <w:rFonts w:hint="eastAsia" w:ascii="仿宋_GB2312" w:hAnsi="宋体" w:eastAsia="仿宋_GB2312" w:cs="宋体"/>
          <w:kern w:val="0"/>
          <w:sz w:val="32"/>
          <w:szCs w:val="32"/>
        </w:rPr>
        <w:t>、北京市名师为骨干组成专业课授课教师；所有</w:t>
      </w:r>
      <w:r>
        <w:rPr>
          <w:rFonts w:ascii="仿宋_GB2312" w:hAnsi="宋体" w:eastAsia="仿宋_GB2312" w:cs="宋体"/>
          <w:kern w:val="0"/>
          <w:sz w:val="32"/>
          <w:szCs w:val="32"/>
        </w:rPr>
        <w:t>课程</w:t>
      </w:r>
      <w:r>
        <w:rPr>
          <w:rFonts w:hint="eastAsia" w:ascii="仿宋_GB2312" w:hAnsi="宋体" w:eastAsia="仿宋_GB2312" w:cs="宋体"/>
          <w:kern w:val="0"/>
          <w:sz w:val="32"/>
          <w:szCs w:val="32"/>
        </w:rPr>
        <w:t>小班授课；学生可在全校相关各重点实验室、高精尖中心等机构开展科学研究训练，保证“宽口径、厚基础、强科研、重创新、国际化”的目标实现。</w:t>
      </w:r>
    </w:p>
    <w:p>
      <w:pPr>
        <w:spacing w:line="360" w:lineRule="auto"/>
        <w:ind w:firstLine="560"/>
        <w:rPr>
          <w:rFonts w:ascii="宋体" w:hAnsi="宋体" w:eastAsia="宋体"/>
          <w:sz w:val="28"/>
          <w:szCs w:val="24"/>
        </w:rPr>
      </w:pPr>
    </w:p>
    <w:p>
      <w:pPr>
        <w:widowControl/>
        <w:ind w:firstLine="640" w:firstLineChars="200"/>
        <w:rPr>
          <w:rFonts w:ascii="仿宋" w:hAnsi="仿宋" w:eastAsia="仿宋"/>
          <w:sz w:val="32"/>
          <w:szCs w:val="32"/>
        </w:rPr>
      </w:pPr>
      <w:r>
        <w:rPr>
          <w:rFonts w:ascii="仿宋" w:hAnsi="仿宋" w:eastAsia="仿宋"/>
          <w:sz w:val="32"/>
          <w:szCs w:val="32"/>
        </w:rPr>
        <w:t>习近平</w:t>
      </w:r>
      <w:r>
        <w:rPr>
          <w:rFonts w:hint="eastAsia" w:ascii="仿宋" w:hAnsi="仿宋" w:eastAsia="仿宋"/>
          <w:sz w:val="32"/>
          <w:szCs w:val="32"/>
        </w:rPr>
        <w:t>总书</w:t>
      </w:r>
      <w:r>
        <w:rPr>
          <w:rFonts w:hint="eastAsia" w:ascii="仿宋_GB2312" w:hAnsi="宋体" w:eastAsia="仿宋_GB2312" w:cs="宋体"/>
          <w:kern w:val="0"/>
          <w:sz w:val="32"/>
          <w:szCs w:val="32"/>
        </w:rPr>
        <w:t>记给全国涉农高校的书记校长和专家代表回信中</w:t>
      </w:r>
      <w:r>
        <w:rPr>
          <w:rFonts w:ascii="仿宋_GB2312" w:hAnsi="宋体" w:eastAsia="仿宋_GB2312" w:cs="宋体"/>
          <w:kern w:val="0"/>
          <w:sz w:val="32"/>
          <w:szCs w:val="32"/>
        </w:rPr>
        <w:t>寄语全国涉农高校广大师生</w:t>
      </w:r>
      <w:r>
        <w:rPr>
          <w:rFonts w:hint="eastAsia" w:ascii="仿宋_GB2312" w:hAnsi="宋体" w:eastAsia="仿宋_GB2312" w:cs="宋体"/>
          <w:kern w:val="0"/>
          <w:sz w:val="32"/>
          <w:szCs w:val="32"/>
        </w:rPr>
        <w:t>要</w:t>
      </w:r>
      <w:r>
        <w:rPr>
          <w:rFonts w:ascii="仿宋_GB2312" w:hAnsi="宋体" w:eastAsia="仿宋_GB2312" w:cs="宋体"/>
          <w:kern w:val="0"/>
          <w:sz w:val="32"/>
          <w:szCs w:val="32"/>
        </w:rPr>
        <w:t>“以立德树人为根本</w:t>
      </w:r>
      <w:r>
        <w:rPr>
          <w:rFonts w:hint="eastAsia" w:ascii="仿宋_GB2312" w:hAnsi="宋体" w:eastAsia="仿宋_GB2312" w:cs="宋体"/>
          <w:kern w:val="0"/>
          <w:sz w:val="32"/>
          <w:szCs w:val="32"/>
        </w:rPr>
        <w:t>，</w:t>
      </w:r>
      <w:r>
        <w:rPr>
          <w:rFonts w:ascii="仿宋_GB2312" w:hAnsi="宋体" w:eastAsia="仿宋_GB2312" w:cs="宋体"/>
          <w:kern w:val="0"/>
          <w:sz w:val="32"/>
          <w:szCs w:val="32"/>
        </w:rPr>
        <w:t>以强农兴农为己任”</w:t>
      </w:r>
      <w:r>
        <w:rPr>
          <w:rFonts w:ascii="仿宋" w:hAnsi="仿宋" w:eastAsia="仿宋"/>
          <w:sz w:val="32"/>
          <w:szCs w:val="32"/>
        </w:rPr>
        <w:t>。</w:t>
      </w:r>
      <w:r>
        <w:rPr>
          <w:rFonts w:hint="eastAsia" w:ascii="仿宋" w:hAnsi="仿宋" w:eastAsia="仿宋"/>
          <w:sz w:val="32"/>
          <w:szCs w:val="32"/>
        </w:rPr>
        <w:t>中国农业大学将以习近平新时代中国特色社会主义思想为指导，依托强基计划，牢记</w:t>
      </w:r>
      <w:r>
        <w:rPr>
          <w:rFonts w:ascii="仿宋" w:hAnsi="仿宋" w:eastAsia="仿宋"/>
          <w:sz w:val="32"/>
          <w:szCs w:val="32"/>
        </w:rPr>
        <w:t>立德树人</w:t>
      </w:r>
      <w:r>
        <w:rPr>
          <w:rFonts w:hint="eastAsia" w:ascii="仿宋" w:hAnsi="仿宋" w:eastAsia="仿宋"/>
          <w:sz w:val="32"/>
          <w:szCs w:val="32"/>
        </w:rPr>
        <w:t>育人理念，着力培养具有爱国情怀和社会责任感的新时代科研领军人才，朝着建设中国特色、农业特色的世界一流大学目标阔步迈进。</w:t>
      </w:r>
    </w:p>
    <w:p>
      <w:pPr>
        <w:widowControl/>
        <w:ind w:firstLine="640" w:firstLineChars="200"/>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E93"/>
    <w:rsid w:val="00011519"/>
    <w:rsid w:val="00022CAD"/>
    <w:rsid w:val="00034A5B"/>
    <w:rsid w:val="00094972"/>
    <w:rsid w:val="000E3B66"/>
    <w:rsid w:val="0011355C"/>
    <w:rsid w:val="001209D2"/>
    <w:rsid w:val="001522AF"/>
    <w:rsid w:val="00160692"/>
    <w:rsid w:val="001F5908"/>
    <w:rsid w:val="00206286"/>
    <w:rsid w:val="0022475D"/>
    <w:rsid w:val="002372F5"/>
    <w:rsid w:val="00273029"/>
    <w:rsid w:val="00280F01"/>
    <w:rsid w:val="00285F15"/>
    <w:rsid w:val="002A7189"/>
    <w:rsid w:val="002E12BB"/>
    <w:rsid w:val="00333BDE"/>
    <w:rsid w:val="0037460A"/>
    <w:rsid w:val="003B7F33"/>
    <w:rsid w:val="003C10D7"/>
    <w:rsid w:val="0042704E"/>
    <w:rsid w:val="00463559"/>
    <w:rsid w:val="00464752"/>
    <w:rsid w:val="00491CC7"/>
    <w:rsid w:val="004A7E93"/>
    <w:rsid w:val="00500AF9"/>
    <w:rsid w:val="00501BFB"/>
    <w:rsid w:val="00504D28"/>
    <w:rsid w:val="00507E80"/>
    <w:rsid w:val="0051554D"/>
    <w:rsid w:val="00524BF2"/>
    <w:rsid w:val="0053346D"/>
    <w:rsid w:val="005613AE"/>
    <w:rsid w:val="005813A0"/>
    <w:rsid w:val="005826F7"/>
    <w:rsid w:val="005B379F"/>
    <w:rsid w:val="005B65B3"/>
    <w:rsid w:val="005F48C1"/>
    <w:rsid w:val="00650E4F"/>
    <w:rsid w:val="0065206C"/>
    <w:rsid w:val="00652730"/>
    <w:rsid w:val="006749C2"/>
    <w:rsid w:val="00676A76"/>
    <w:rsid w:val="006B3C2D"/>
    <w:rsid w:val="006B6BBE"/>
    <w:rsid w:val="006D6A9B"/>
    <w:rsid w:val="00706E86"/>
    <w:rsid w:val="00716517"/>
    <w:rsid w:val="0074210C"/>
    <w:rsid w:val="00745763"/>
    <w:rsid w:val="007B1AA6"/>
    <w:rsid w:val="007B240B"/>
    <w:rsid w:val="008000AE"/>
    <w:rsid w:val="00802ECC"/>
    <w:rsid w:val="00887FC3"/>
    <w:rsid w:val="008C06CC"/>
    <w:rsid w:val="008D2591"/>
    <w:rsid w:val="008E283D"/>
    <w:rsid w:val="00997F0D"/>
    <w:rsid w:val="00A43D3E"/>
    <w:rsid w:val="00A67A59"/>
    <w:rsid w:val="00A901C5"/>
    <w:rsid w:val="00AB1FC8"/>
    <w:rsid w:val="00AC13F8"/>
    <w:rsid w:val="00AE3D63"/>
    <w:rsid w:val="00C1443E"/>
    <w:rsid w:val="00C36A86"/>
    <w:rsid w:val="00C417F1"/>
    <w:rsid w:val="00C631A0"/>
    <w:rsid w:val="00C724E2"/>
    <w:rsid w:val="00CD484D"/>
    <w:rsid w:val="00CE21D2"/>
    <w:rsid w:val="00CE5BB8"/>
    <w:rsid w:val="00CF5622"/>
    <w:rsid w:val="00D250FF"/>
    <w:rsid w:val="00D64E49"/>
    <w:rsid w:val="00E70B02"/>
    <w:rsid w:val="00EC3A35"/>
    <w:rsid w:val="00ED3586"/>
    <w:rsid w:val="00EE2379"/>
    <w:rsid w:val="00EE578F"/>
    <w:rsid w:val="00EF5A16"/>
    <w:rsid w:val="00F06093"/>
    <w:rsid w:val="00F06FEA"/>
    <w:rsid w:val="00F231FD"/>
    <w:rsid w:val="00F77DFC"/>
    <w:rsid w:val="00F82F20"/>
    <w:rsid w:val="00FF43E3"/>
    <w:rsid w:val="00FF77EF"/>
    <w:rsid w:val="1F406B4D"/>
    <w:rsid w:val="2B5F1B78"/>
    <w:rsid w:val="5F7D4C54"/>
    <w:rsid w:val="681D2CF5"/>
    <w:rsid w:val="78A02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semiHidden/>
    <w:unhideWhenUsed/>
    <w:uiPriority w:val="99"/>
    <w:pPr>
      <w:jc w:val="left"/>
    </w:pPr>
  </w:style>
  <w:style w:type="paragraph" w:styleId="3">
    <w:name w:val="Balloon Text"/>
    <w:basedOn w:val="1"/>
    <w:link w:val="14"/>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2"/>
    <w:next w:val="2"/>
    <w:link w:val="17"/>
    <w:semiHidden/>
    <w:unhideWhenUsed/>
    <w:qFormat/>
    <w:uiPriority w:val="99"/>
    <w:rPr>
      <w:b/>
      <w:bCs/>
    </w:rPr>
  </w:style>
  <w:style w:type="character" w:styleId="10">
    <w:name w:val="annotation reference"/>
    <w:basedOn w:val="9"/>
    <w:semiHidden/>
    <w:unhideWhenUsed/>
    <w:qFormat/>
    <w:uiPriority w:val="99"/>
    <w:rPr>
      <w:sz w:val="21"/>
      <w:szCs w:val="21"/>
    </w:rPr>
  </w:style>
  <w:style w:type="paragraph" w:styleId="11">
    <w:name w:val="List Paragraph"/>
    <w:basedOn w:val="1"/>
    <w:qFormat/>
    <w:uiPriority w:val="34"/>
    <w:pPr>
      <w:ind w:firstLine="420" w:firstLineChars="200"/>
    </w:p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character" w:customStyle="1" w:styleId="14">
    <w:name w:val="批注框文本 字符"/>
    <w:basedOn w:val="9"/>
    <w:link w:val="3"/>
    <w:semiHidden/>
    <w:qFormat/>
    <w:uiPriority w:val="99"/>
    <w:rPr>
      <w:sz w:val="18"/>
      <w:szCs w:val="18"/>
    </w:rPr>
  </w:style>
  <w:style w:type="character" w:customStyle="1" w:styleId="15">
    <w:name w:val="NormalCharacter"/>
    <w:semiHidden/>
    <w:qFormat/>
    <w:uiPriority w:val="0"/>
  </w:style>
  <w:style w:type="character" w:customStyle="1" w:styleId="16">
    <w:name w:val="批注文字 字符"/>
    <w:basedOn w:val="9"/>
    <w:link w:val="2"/>
    <w:semiHidden/>
    <w:qFormat/>
    <w:uiPriority w:val="99"/>
  </w:style>
  <w:style w:type="character" w:customStyle="1" w:styleId="17">
    <w:name w:val="批注主题 字符"/>
    <w:basedOn w:val="16"/>
    <w:link w:val="7"/>
    <w:semiHidden/>
    <w:qFormat/>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E4E125-ABD6-4567-8045-24FC17490119}">
  <ds:schemaRefs/>
</ds:datastoreItem>
</file>

<file path=docProps/app.xml><?xml version="1.0" encoding="utf-8"?>
<Properties xmlns="http://schemas.openxmlformats.org/officeDocument/2006/extended-properties" xmlns:vt="http://schemas.openxmlformats.org/officeDocument/2006/docPropsVTypes">
  <Template>Normal</Template>
  <Pages>5</Pages>
  <Words>362</Words>
  <Characters>2070</Characters>
  <Lines>17</Lines>
  <Paragraphs>4</Paragraphs>
  <TotalTime>7</TotalTime>
  <ScaleCrop>false</ScaleCrop>
  <LinksUpToDate>false</LinksUpToDate>
  <CharactersWithSpaces>2428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2020-04-28T06:39:00Z</dcterms:created>
  <dc:creator>孙德昊</dc:creator>
  <cp:lastModifiedBy>Libra_昌盛</cp:lastModifiedBy>
  <cp:lastPrinted>2020-04-24T07:50:00Z</cp:lastPrinted>
  <dcterms:modified xsi:type="dcterms:W3CDTF">2020-05-08T01:15:21Z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